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7029-2025 i Oskarshamns kommun</w:t>
      </w:r>
    </w:p>
    <w:p>
      <w:r>
        <w:t>Detta klagomål behandlar höga naturvärden i avverkningsanmälan A 7029-2025 i Oskarshamns kommun som inkom 2025-02-13 och omfattar 4,8 ha.</w:t>
      </w:r>
    </w:p>
    <w:p>
      <w:pPr>
        <w:pStyle w:val="Caption"/>
      </w:pPr>
      <w:r>
        <w:drawing>
          <wp:inline xmlns:a="http://schemas.openxmlformats.org/drawingml/2006/main" xmlns:pic="http://schemas.openxmlformats.org/drawingml/2006/picture">
            <wp:extent cx="5331895" cy="5724000"/>
            <wp:docPr id="1" name="Picture 1"/>
            <wp:cNvGraphicFramePr>
              <a:graphicFrameLocks noChangeAspect="1"/>
            </wp:cNvGraphicFramePr>
            <a:graphic>
              <a:graphicData uri="http://schemas.openxmlformats.org/drawingml/2006/picture">
                <pic:pic>
                  <pic:nvPicPr>
                    <pic:cNvPr id="0" name="A 7029-2025 karta.png"/>
                    <pic:cNvPicPr/>
                  </pic:nvPicPr>
                  <pic:blipFill>
                    <a:blip r:embed="rId16"/>
                    <a:stretch>
                      <a:fillRect/>
                    </a:stretch>
                  </pic:blipFill>
                  <pic:spPr>
                    <a:xfrm>
                      <a:off x="0" y="0"/>
                      <a:ext cx="5331895" cy="5724000"/>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6375454, E 593201 i SWEREF 99 TM.</w:t>
      </w:r>
    </w:p>
    <w:p>
      <w:r>
        <w:t>I och inom 22 meter från avverkningsanmälan finns fynd av 5 naturvårdsarter, varav 1 är rödlistad, 2 är fridlysta, 4 är typiska (T) och 2 är signalarter (S): tallticka (NT, T), blåmossa (S, T), jättesvampmal (S), blåsippa (T, §9)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Jättesvampmal</w:t>
      </w:r>
      <w:r>
        <w:t xml:space="preserve"> är en fjäril som flyger i juli i mer eller mindre orörd gammal löv- eller blandskog, särskilt sådan med björk och bok. Larven lever i fnöskticka m.fl. tickor och kläckhålen och resterna av larvgångar i äldre fruktkroppar är lätta att känna igen och inventera. Arten hotas av avverkning av gamla, svampangripna lövträd samt bortforsling av döda lövträd, vindfällen och lågor. Gamla lövträd och naturbestånd med lövskog - särskilt björk och bok - bör sparas så långt möjligt och död ved lämnas kvar i skogen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