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Arten är placerad högst upp i Skogsstyrelsens värdepyramid för bedömning av skog med höga naturvärden. Områden med arten bör skyddas och undantas från rationellt skogsbruk och slutavverkning, kraftig gallring och skogsgödsling måste helt undvikas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