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58458-2022 i Västerviks kommun</w:t>
      </w:r>
    </w:p>
    <w:p>
      <w:r>
        <w:t>Detta dokument behandlar höga naturvärden i avverkningsanmälan A 58458-2022 i Västerviks kommun. Denna avverkningsanmälan inkom 2022-12-07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brandnäva (EN), knärot (VU, §8), bredbrämad bastardsvärmare (NT), duvhök (NT, §4), grönsångare (NT, §4), kandelabersvamp (NT), klubbsprötad bastardsvärmare (NT), mindre bastardsvärmare (NT), silversmygare (NT), smalsprötad bastardsvärmare (NT), spillkråka (NT, §4), svedjenäva (NT), talltita (NT, §4), grovticka (S), grönpyrola (S), purpurknipprot (S, §8), tibast (S), gröngöling (§4), järnsparv (§4), törnskata (§4), kopparödla (§6), skogsödla (§6), grönvit nattviol (§8),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pPr>
        <w:pStyle w:val="Heading1"/>
      </w:pPr>
      <w:r>
        <w:t>Fridlysta arter</w:t>
      </w:r>
    </w:p>
    <w:p>
      <w:r>
        <w:t>Följande fridlysta arter har sina livsmiljöer och växtplatser i den avverkningsanmälda skogen: knärot (VU, §8), duvhök (NT, §4), grönsångare (NT, §4), spillkråka (NT, §4), talltita (NT, §4), purpurknipprot (S, §8), gröngöling (§4), järnsparv (§4), törnskata (§4), kopparödla (§6), skogsödla (§6), grönvit nattviol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