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30779-2023 i Västerviks kommun</w:t>
      </w:r>
    </w:p>
    <w:p>
      <w:r>
        <w:t>Detta dokument behandlar höga naturvärden i avverkningsanmälan A 30779-2023 i Västerviks kommun. Denna avverkningsanmälan inkom 2023-07-05 00:00:00 och omfattar 14,5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15 naturvårdsarter hittats: apelticka (VU), knärot (VU, §8), sandödla (VU, §4a), knölspindel (NT), koralltaggsvamp (NT), motaggsvamp (NT), orange taggsvamp (NT), spillkråka (NT, §4), svartvit taggsvamp (NT), tallticka (NT), talltita (NT, §4), grovticka (S), grönpyrola (S), tjockfotad fingersvamp (S) och kungsfågel (§4). Av dessa är 11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610650"/>
            <wp:docPr id="1" name="Picture 1"/>
            <wp:cNvGraphicFramePr>
              <a:graphicFrameLocks noChangeAspect="1"/>
            </wp:cNvGraphicFramePr>
            <a:graphic>
              <a:graphicData uri="http://schemas.openxmlformats.org/drawingml/2006/picture">
                <pic:pic>
                  <pic:nvPicPr>
                    <pic:cNvPr id="0" name="A 30779-2023 karta.png"/>
                    <pic:cNvPicPr/>
                  </pic:nvPicPr>
                  <pic:blipFill>
                    <a:blip r:embed="rId16"/>
                    <a:stretch>
                      <a:fillRect/>
                    </a:stretch>
                  </pic:blipFill>
                  <pic:spPr>
                    <a:xfrm>
                      <a:off x="0" y="0"/>
                      <a:ext cx="5486400" cy="461065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6396192, E 594972 i SWEREF 99 TM.</w:t>
      </w:r>
    </w:p>
    <w:p>
      <w:r>
        <w:rPr>
          <w:b/>
        </w:rPr>
        <w:t>Grovticka</w:t>
      </w:r>
      <w:r>
        <w:t xml:space="preserve"> är i skogslandskapet främst knuten till naturskogsartad äldre barrskog. Den är där en värdefull ”gammelskogsindikator” och påträffas mest vid tallar som är över 200 år gamla.  Grovticka är typisk art för </w:t>
      </w:r>
      <w:r>
        <w:rPr>
          <w:i/>
        </w:rPr>
        <w:t xml:space="preserve">9060 Åsbarrskog </w:t>
      </w:r>
      <w:r>
        <w:t>(Nitare &amp; Skogsstyrelsen, 2019; SLU Artdatabanken, 2025).</w:t>
      </w:r>
    </w:p>
    <w:p>
      <w:r>
        <w:rPr>
          <w:b/>
        </w:rPr>
        <w:t xml:space="preserve">Grönpyrola </w:t>
      </w:r>
      <w:r>
        <w:t xml:space="preserve">växer främst på sandig, torr eller frisk mark i äldre barrskog, ofta på isälvsmaterial såsom sand och grus. Den påträffas främst i äldre naturligt uppkomna barrskogar, exempelvis på tallmoar, i åssluttningar, dyner och rasbranter. Arten är känslig för skogsbruksmetoder såsom slutavverkning och markberedning. Grönpyrola är typisk art för </w:t>
      </w:r>
      <w:r>
        <w:rPr>
          <w:i/>
        </w:rPr>
        <w:t>9010 Taiga, 9060 Åsbarrskog</w:t>
      </w:r>
      <w:r>
        <w:t xml:space="preserve"> och</w:t>
      </w:r>
      <w:r>
        <w:rPr>
          <w:i/>
        </w:rPr>
        <w:t xml:space="preserve"> 1610 Åsöar i Östersjön </w:t>
      </w:r>
      <w:r>
        <w:t>(Nitare &amp; Skogsstyrelsen, 2019; SLU Artdatabanken, 2025).</w:t>
      </w:r>
    </w:p>
    <w:p>
      <w:r>
        <w:rPr>
          <w:b/>
        </w:rPr>
        <w:t>Koralltaggsvamp (NT)</w:t>
      </w:r>
      <w:r>
        <w:t xml:space="preserve"> är i hela landet en mycket bra signalart som nästan enbart påträffas i skogsområden med höga naturvärden. Arten hotas av brist på död ved. Ingrepp som innebär att lågor och döda eller skadade träd tas bort missgynnar arten. En slutavverkning, skoglig gallring eller annat uttag av virke på växtplatsen som ger ett förändrat lokalklimat innebär ett direkt hot liksom överföring av lövskog till barrskog. Koralltaggsvamp är typisk art för </w:t>
      </w:r>
      <w:r>
        <w:rPr>
          <w:i/>
        </w:rPr>
        <w:t>9010 Taiga, 9050 Näringsrik granskog</w:t>
      </w:r>
      <w:r>
        <w:t xml:space="preserve"> och</w:t>
      </w:r>
      <w:r>
        <w:rPr>
          <w:i/>
        </w:rPr>
        <w:t xml:space="preserve"> 9030 Landhöjningsskog</w:t>
      </w:r>
      <w:r>
        <w:t xml:space="preserve"> (SLU Artdatabanken, 2024; Nitare &amp; Skogsstyrelsen, 2019).</w:t>
      </w:r>
    </w:p>
    <w:p>
      <w:r>
        <w:rPr>
          <w:b/>
        </w:rPr>
        <w:t xml:space="preserve">Motaggsvamp (NT) </w:t>
      </w:r>
      <w:r>
        <w:t xml:space="preserve">bildar mykorrhiza med tall i tallskog och hittas huvudsakligen i äldre, glesare skogsbestånd och hällmarksimpediment. Arten hotas främst av skogsavverkning och tycks försvinna efter slutavverkning, markberedning och plantering. Motaggsvamp är typisk art för </w:t>
      </w:r>
      <w:r>
        <w:rPr>
          <w:i/>
        </w:rPr>
        <w:t>9010 Taiga</w:t>
      </w:r>
      <w:r>
        <w:t xml:space="preserve"> (SLU Artdatabanken, 2024).</w:t>
      </w:r>
    </w:p>
    <w:p>
      <w:r>
        <w:rPr>
          <w:b/>
        </w:rPr>
        <w:t xml:space="preserve">Orange taggsvamp (NT) </w:t>
      </w:r>
      <w:r>
        <w:t xml:space="preserve">bildar mykorrhiza med både gran och tall och den förekommer främst i äldre barrskogar med kontinuitetsskogskaraktär. Mest frekvent är den i äldre mossrik granskog, men då bara i skogar inom granens naturliga utbredningsområde och i bestånd med långvarig grankontinuitet. Den totala populationen i landet bedöms ha minskat kraftigt och fortsatt kommer att minska då arten är knuten till en produktiv skogsmiljö som successivt avverkas. Arten hotas främst av skogsavverkning och tycks försvinna efter slutavverkning, markberedning och plantering och det är inte känt att arten har återkommit i anlagd skog på tidigare kalmark. Orange taggsvamp är typisk art för </w:t>
      </w:r>
      <w:r>
        <w:rPr>
          <w:i/>
        </w:rPr>
        <w:t>9010 Taiga</w:t>
      </w:r>
      <w:r>
        <w:t xml:space="preserve"> (SLU Artdatabanken, 2024).</w:t>
      </w:r>
    </w:p>
    <w:p>
      <w:r>
        <w:rPr>
          <w:b/>
        </w:rPr>
        <w:t xml:space="preserve">Svartvit taggsvamp (NT) </w:t>
      </w:r>
      <w:r>
        <w:t>bildar mykorrhiza med tall, troligen även med gran. Den växer huvudsakligen i äldre, naturligt uppkommen skog på torr eller frisk mark och förekommer såväl på tallhedar som i mossig barrblandskog. Flera olika former har påträffats vid DNA-undersökningar av europeiskt material och det är oklart hur många former som finns i värd land. Kalavverkning av äldre skog är ett reellt hot, liksom maskinell markberedning och minskad andel självföryngring. Lokaler som fortfarande håller svampen behöver säkerställas (SLU Artdatabanken, 2024; Nitare &amp; Skogsstyrelsen, 2019).</w:t>
      </w:r>
    </w:p>
    <w:p>
      <w:r>
        <w:rPr>
          <w:b/>
        </w:rPr>
        <w:t xml:space="preserve">Tallticka (NT) </w:t>
      </w:r>
      <w:r>
        <w:t xml:space="preserve">uppträder först på tallar som är 100–150 år gamla men är vanligast på träd som är runt 150–200 år eller äldre. I skogslandskapet är den främst knuten till tallnaturskogar och restbiotoper med biologiskt gamla träd och signalerar vanligtvis skyddsvärda tallbestånd med höga naturvärden. Tallticka är typisk art för </w:t>
      </w:r>
      <w:r>
        <w:rPr>
          <w:i/>
        </w:rPr>
        <w:t xml:space="preserve">9010 Taiga </w:t>
      </w:r>
      <w:r>
        <w:t xml:space="preserve">och </w:t>
      </w:r>
      <w:r>
        <w:rPr>
          <w:i/>
        </w:rPr>
        <w:t>9060 Åsbarrskog</w:t>
      </w:r>
      <w:r>
        <w:t xml:space="preserve"> (SLU Artdatabanken, 2023; Nitare &amp; Skogsstyrelsen, 2019).</w:t>
      </w:r>
    </w:p>
    <w:p>
      <w:r>
        <w:rPr>
          <w:b/>
        </w:rPr>
        <w:t xml:space="preserve">Tjockfotad fingersvamp </w:t>
      </w:r>
      <w:r>
        <w:t>bildar mykorrhiza med bok och ek på kalkrik mark i huvudsakligen äldre skog men även med gran i örtrik äldre barrskog. Slutavverkning, gödsling eller exploatering måste undvikas (SLU Artdatabanken, 2024).</w:t>
      </w:r>
    </w:p>
    <w:p>
      <w:pPr>
        <w:pStyle w:val="Heading1"/>
      </w:pPr>
      <w:r>
        <w:t>Fridlysta arter</w:t>
      </w:r>
    </w:p>
    <w:p>
      <w:r>
        <w:t>Följande fridlysta arter har sina livsmiljöer och växtplatser i den avverkningsanmälda skogen: knärot (VU, §8), sandödla (VU, §4a), spillkråka (NT, §4), talltita (NT, §4) och kungsfågel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17 fyndplatser för knärot registrerade på Artportalen. Figur 2 visar gränserna för buffertzoner på 50 m, som behöver lämnas kring fyndplatserna för att knärotslokalerna inte ska försvinna vid en avverkning. Av det avverkningsanmälda området överlappar 5.83 ha med buffertzonerna och får av detta skäl inte avverkas.</w:t>
      </w:r>
    </w:p>
    <w:p>
      <w:pPr>
        <w:pStyle w:val="Caption"/>
      </w:pPr>
      <w:r>
        <w:drawing>
          <wp:inline xmlns:a="http://schemas.openxmlformats.org/drawingml/2006/main" xmlns:pic="http://schemas.openxmlformats.org/drawingml/2006/picture">
            <wp:extent cx="5486400" cy="5713066"/>
            <wp:docPr id="2" name="Picture 2"/>
            <wp:cNvGraphicFramePr>
              <a:graphicFrameLocks noChangeAspect="1"/>
            </wp:cNvGraphicFramePr>
            <a:graphic>
              <a:graphicData uri="http://schemas.openxmlformats.org/drawingml/2006/picture">
                <pic:pic>
                  <pic:nvPicPr>
                    <pic:cNvPr id="0" name="A 30779-2023 karta knärot.png"/>
                    <pic:cNvPicPr/>
                  </pic:nvPicPr>
                  <pic:blipFill>
                    <a:blip r:embed="rId17"/>
                    <a:stretch>
                      <a:fillRect/>
                    </a:stretch>
                  </pic:blipFill>
                  <pic:spPr>
                    <a:xfrm>
                      <a:off x="0" y="0"/>
                      <a:ext cx="5486400" cy="5713066"/>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6396192, E 594972 i SWEREF 99 TM.</w:t>
      </w:r>
    </w:p>
    <w:p>
      <w:pPr>
        <w:pStyle w:val="Caption"/>
      </w:pP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och bedöms vara nära gränsvärdet för Sårbar (VU) (A2bc). Spillkråka är en nyckelart i skogliga miljöer vars övergivna bohål utnyttjas av flera andra hålhäckande fågelarter och fladdermöss. Den behöver grova träd, främst tall, asp och bok som boträd. Skogsbruk med korta omloppstider och täta, homogena ungskogar utgör det största hotet. Spillkråka är typisk art för </w:t>
      </w:r>
      <w:r>
        <w:rPr>
          <w:i/>
        </w:rPr>
        <w:t xml:space="preserve">9010 Taiga </w:t>
      </w:r>
      <w:r>
        <w:t>och</w:t>
      </w:r>
      <w:r>
        <w:rPr>
          <w:i/>
        </w:rPr>
        <w:t xml:space="preserve"> 9740 Skogsbevuxen myr </w:t>
      </w:r>
      <w:r>
        <w:t>(SLU Artdatabanken, 2025; Skogsstyrelsen 2016).</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Spillkråka – ekologi samt krav på livsmiljön</w:t>
      </w:r>
    </w:p>
    <w:p>
      <w:r>
        <w:t xml:space="preserve">Spillkråka (NT) är rödlistad som nära hotad, fridlyst enligt §4 Artskyddsförordningen, typisk art för </w:t>
      </w:r>
      <w:r>
        <w:rPr>
          <w:i/>
        </w:rPr>
        <w:t xml:space="preserve">9010 Taiga </w:t>
      </w:r>
      <w:r>
        <w:t>och</w:t>
      </w:r>
      <w:r>
        <w:rPr>
          <w:i/>
        </w:rPr>
        <w:t xml:space="preserve"> 9740 Skogsbevuxen myr</w:t>
      </w:r>
      <w:r>
        <w:t xml:space="preserve"> och ingår i bilaga 1 i EU:s fågeldirektiv. Spillkråka lever i både barr- och blandskog liksom i ren lövskog. De tätaste populationerna tenderar att finnas i äldre, variationsrik blandskog med gott om död ved och gamla träd. Spillkråka är en nyckelart i skogliga miljöer vars övergivna bohål utnyttjas av flera andra hålhäckande fågelarter och fladdermöss (SLU Artdatabanken, 2023; Skogsstyrelsen 2016).</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2023.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2026-03-12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