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58937-2022 i Västerviks kommun</w:t>
      </w:r>
    </w:p>
    <w:p>
      <w:r>
        <w:t>Detta klagomål behandlar höga naturvärden i avverkningsanmälan A 58937-2022 i Västerviks kommun som inkom 2022-12-01 och omfattar 10,6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8937-2022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6423312, E 568169 i SWEREF 99 TM.</w:t>
      </w:r>
    </w:p>
    <w:p>
      <w:r>
        <w:t>I och inom 25 meter från avverkningsanmälan finns fynd av 29 naturvårdsarter, varav 11 är rödlistade, 9 är fridlysta, 19 är typiska (T) och 12 är signalarter (S): fransporing (VU), gränsticka (VU, T), knärot (VU, T, §8), apelsinticka (NT), dvärgbägarlav (NT, T), grönsångare (NT, §4), hornvaxskinn (NT), kolflarnlav (NT, T), tallticka (NT, T), talltita (NT, §4), vedskivlav (NT, T), blodticka (S, T), blåmossa (S, T), bronshjon (S, T), flagellkvastmossa (S, T), grovticka (S, T), grönpyrola (S, T), kornknutmossa (S, T), nästlav (S, T), sotlav (S, T), thomsons trägnagare (S), vedticka (S, T), vågbandad barkbock (S), blåsippa (T, §9), spillkråka (T, §4), tofsmes (T, §4), kungsfågel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Fransporing (VU)</w:t>
      </w:r>
      <w:r>
        <w:t xml:space="preserve"> växer främst på starkt murken ved av gran och tall, sällan en, björk, hassel och annat lövträd i barr- och blandskog. Arten hotas av brist på lämpliga växtplatser eftersom det i kulturskogen ofta råder brist på lågor i sena nedbrytningsstadier. Arten har sin tyngdpunkt i södra delen av landet där bristen på äldre skog i naturtillstånd är särskilt påtaglig. Fler områden med äldre skog där arten finns bör sparas i södra Sverige även om de är små. För säker artbestämning behöver arten mikroskoperas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80 fyndplatser för knärot registrerade på Artportalen. Figur 2 visar gränserna för buffertzoner på 50 m, som behöver lämnas kring fyndplatserna för att knärotslokalerna inte ska försvinna vid en avverkning. Av det avverkningsanmälda området överlappar 7.03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58937-2022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6423312, E 568169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