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1878-2025 i Västerviks kommun</w:t>
      </w:r>
    </w:p>
    <w:p>
      <w:r>
        <w:t>Detta klagomål behandlar höga naturvärden i samrådsanmälan S 1878-2025 i Västerviks kommun som inkom 2025-06-16 och omfattar 15,4 ha.</w:t>
      </w:r>
    </w:p>
    <w:p>
      <w:pPr>
        <w:pStyle w:val="Caption"/>
      </w:pPr>
      <w:r>
        <w:drawing>
          <wp:inline xmlns:a="http://schemas.openxmlformats.org/drawingml/2006/main" xmlns:pic="http://schemas.openxmlformats.org/drawingml/2006/picture">
            <wp:extent cx="5307406" cy="5724000"/>
            <wp:docPr id="1" name="Picture 1"/>
            <wp:cNvGraphicFramePr>
              <a:graphicFrameLocks noChangeAspect="1"/>
            </wp:cNvGraphicFramePr>
            <a:graphic>
              <a:graphicData uri="http://schemas.openxmlformats.org/drawingml/2006/picture">
                <pic:pic>
                  <pic:nvPicPr>
                    <pic:cNvPr id="0" name="S 1878-2025 karta.png"/>
                    <pic:cNvPicPr/>
                  </pic:nvPicPr>
                  <pic:blipFill>
                    <a:blip r:embed="rId16"/>
                    <a:stretch>
                      <a:fillRect/>
                    </a:stretch>
                  </pic:blipFill>
                  <pic:spPr>
                    <a:xfrm>
                      <a:off x="0" y="0"/>
                      <a:ext cx="5307406"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6403982, E 598065 i SWEREF 99 TM.</w:t>
      </w:r>
    </w:p>
    <w:p>
      <w:r>
        <w:t>I och inom 25 meter från samrådsanmälan finns fynd av 66 naturvårdsarter, varav 33 är rödlistade, 33 är fridlysta, 19 är typiska (T) och 15 är signalarter (S): ask (EN), havstrut (EN, §4), klätt (EN), skogsalm (EN), grönfink (VU, §4), hasselsnok (VU, §4a), igelkott (VU), läderbagge (VU, §4a), stare (VU, §4), tornseglare (VU, §4), blekticka (NT, T), ekticka (NT, T), gammelekslav (NT, T), gul dropplav (NT), hjälmbrosklav (NT), korallticka (NT), kricka (NT, §4), ladusvala (NT, §4), mindre hackspett (NT, T, §4), nordfladdermus (NT, §4a), oxtungssvamp (NT), parknål (NT), reliktbock (NT, T), rosa skärelav (NT, T), rörsångare (NT, §4), silltrut (NT, §4), skeppsvarvsfluga (NT), skuggorangelav (NT), sparvuggla (NT, §4), strandskata (NT, §4), tallticka (NT, T), vårärt (NT, T), älg (NT), barkticka (S, T), blanksvart trämyra (S), blompraktbagge (S), blåmossa (S, T), brun nållav (S), ekoxe (S, §6), ekskinn (S, T), fällmossa (S, T), gulpudrad spiklav (S, T), lundvårlök (S, T), lönnlav (S), mindre märgborre (S, T), murgröna (S, T), myskbock (S), rostfläck (S, T), blåsippa (T, §9), spillkråka (T, §4), dvärgpipistrell (§4a), gröngöling (§4), grönsiska (§4), halsbandsflugsnappare (§4), havsörn (§4), kråka (§4), kungsfågel (§4), näktergal (§4), stjärtand x gräsand (§4), trollpipistrell (§4a), trädlärka (§4), huggorm (§6), kopparödla (§6), mindre vattensalamander (§6), vanlig padda (§6) och vanlig snok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Läderbagge (VU, §4a)</w:t>
      </w:r>
      <w:r>
        <w:t xml:space="preserve"> är strikt skyddad enligt EU:s art- och habitatdirektiv vilket innebär att hela dess livsmiljö med ekar i alla åldrar behöver bevaras för artens långsiktiga överlevnad i landskapet. Läderbaggens larvutveckling sker i trädhåligheter med mulm i grova ihåliga lövträd, där larven lever av den omgivande, fastare döda veden. I Sverige främst i ek, men även i ask, bok, lind, klibbal, hästkastanj, alm, apel och asp. Läderbaggen påverkar livsmiljön för andra arter genom att utvidga håligheter, öka mängden mulm och höja kvävehalten i mulmen. I stamhåligheter med läderbagge förekommer ofta en rad andra rödlistade arter. Läderbagge är globalt rödlistad som nära hotad (NT) vilket innebär att Sverige har ett internationellt ansvar för arten (IUCN, 2025; SLU Artdatabanken, 2021; Nilsson m.fl. 2002).</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Blekticka (NT)</w:t>
      </w:r>
      <w:r>
        <w:t xml:space="preserve"> är en bra signalart som visar på gamla ekar och skogsområden med höga naturvärden. Arten missgynnas av avverkning av värdträd och passande värdträd runt fyndplatserna. Den hotas på sikt av att ekbestånd ersätts med andra trädslag eller spontant invaderas av gran. Blekticka är typisk art för </w:t>
      </w:r>
      <w:r>
        <w:rPr>
          <w:i/>
        </w:rPr>
        <w:t>9160 Näringsrik ekskog</w:t>
      </w:r>
      <w:r>
        <w:t xml:space="preserve"> och </w:t>
      </w:r>
      <w:r>
        <w:rPr>
          <w:i/>
        </w:rPr>
        <w:t>9190 Näringsfattig ekskog</w:t>
      </w:r>
      <w:r>
        <w:t xml:space="preserve"> (SLU Artdatabanken, 2024; Nitare &amp; Skogsstyrelsen, 2019).</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r>
        <w:rPr>
          <w:b/>
        </w:rPr>
        <w:t xml:space="preserve">Hjälmbrosklav (NT) </w:t>
      </w:r>
      <w:r>
        <w:t>växer huvudsakligen på gamla ekar, men även på andra ädellövträd. De flesta nutida lokalerna är öppna och därmed solexponerade parker, hagmarker och vägkanter med gamla träd. Arten påträffas ofta tillsammans med andra naturvårdsarter som matt pricklav (NT), skuggorangelav (NT) och grå skärelav. Hjälmbrosklaven känns lättast igen på de uppblåsta, hjälmlika soralen i spetsen eller nedanför spetsen av de runda till trubbiga loberna. Minskningstakten för den svenska populationen bedöms vara nära gränsvärdet för Sårbar (VU). Avverkning av gamla lövträd bör undvikas (SLU Artdatabanken, 2025).</w:t>
      </w:r>
    </w:p>
    <w:p>
      <w:r>
        <w:rPr>
          <w:b/>
        </w:rPr>
        <w:t>Korallticka (NT)</w:t>
      </w:r>
      <w:r>
        <w:t xml:space="preserve"> visar på gamla ekar och lövskogsområden med gamla träd som har höga naturvärden. Värdträd, passande värdträd och olikåldriga bestånd med grov ek i hagmarks- och skogsmiljö sparas. För att säkerställa ekberoende arter på lång sikt måste fler bestånd med ek skyddas och skötas så att träden erhåller grova dimensioner och hög ålder (SLU Artdatabanken, 2024; Nitare &amp; Skogsstyrelsen, 2019).</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 xml:space="preserve">Parknål (NT) </w:t>
      </w:r>
      <w:r>
        <w:t>växer söder om Dalälven på gamla ädellövträd och i norra Sverige på mycket gamla sälgar i skogar med hög och jämn luftfuktighet. Ofta förekommer den tillsammans med andra rödlistade knappnålslavar. Lämpliga träd nyskapas i begränsad omfattning. Spara grova träd, restaurera hag- och slåttermarker och öppna runt grova ekar som nu är kraftigt beskuggade. Förekomsterna i norra Sverige måste skyddas (SLU Artdatabanken, 2025).</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 xml:space="preserve">Skeppsvarvsfluga (NT) </w:t>
      </w:r>
      <w:r>
        <w:t>är en skalbagge vars larvutveckling sker i solexponerad hård ved av stående döda eller levande lövträd, i norra Europa endast ek, i Central- och Sydeuropa även bok och kastanj. Fullbildade skalbaggar påträffas under högsommaren, ofta flygande runt lämpliga värdträd varma eftermiddagar. Arten påverkas negativt av brist på död ved och en minskning av populationen pågår eller förväntas ske. Minskningen avser kvalitén på artens habitat (SLU Artdatabanken, 2025).</w:t>
      </w:r>
    </w:p>
    <w:p>
      <w:r>
        <w:rPr>
          <w:b/>
        </w:rPr>
        <w:t>Skuggorangelav (NT)</w:t>
      </w:r>
      <w:r>
        <w:t xml:space="preserve"> växer främst på gamla grova ekar i halvöppna lägen. På lokaler med skuggorangelav måste ett tillräckligt antal unga träd tillåtas bli mycket gamla för att på lång sikt ersätta de nuvarande gammelträden (SLU Artdatabanken, 2024).</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Blanksvart trämyra </w:t>
      </w:r>
      <w:r>
        <w:t xml:space="preserve">förknippas framför allt med gamla träd, där den gnager ut den murkna veden och fyller hålrummen med sitt konstfulla bo. I och intill bon av blanksvart trämyra och i synnerhet brun trämyra kan flera sällsynta och rödlistade skalbaggar påträffas. Bland dessa kan nämnas knappstumpbagge (EN), </w:t>
      </w:r>
      <w:r>
        <w:rPr>
          <w:i/>
        </w:rPr>
        <w:t>Batrisodes adnexus</w:t>
      </w:r>
      <w:r>
        <w:t xml:space="preserve"> (VU), </w:t>
      </w:r>
      <w:r>
        <w:rPr>
          <w:i/>
        </w:rPr>
        <w:t>Batrisodes delaporti</w:t>
      </w:r>
      <w:r>
        <w:t xml:space="preserve"> (VU), </w:t>
      </w:r>
      <w:r>
        <w:rPr>
          <w:i/>
        </w:rPr>
        <w:t>Euryusa coarctata</w:t>
      </w:r>
      <w:r>
        <w:t xml:space="preserve"> (VU), </w:t>
      </w:r>
      <w:r>
        <w:rPr>
          <w:i/>
        </w:rPr>
        <w:t>Euryusa optabilis</w:t>
      </w:r>
      <w:r>
        <w:t xml:space="preserve"> (VU), </w:t>
      </w:r>
      <w:r>
        <w:rPr>
          <w:i/>
        </w:rPr>
        <w:t>Euryusa sinuata</w:t>
      </w:r>
      <w:r>
        <w:t xml:space="preserve"> (VU), </w:t>
      </w:r>
      <w:r>
        <w:rPr>
          <w:i/>
        </w:rPr>
        <w:t xml:space="preserve">Plectophloeus nitidus </w:t>
      </w:r>
      <w:r>
        <w:t xml:space="preserve">(VU), </w:t>
      </w:r>
      <w:r>
        <w:rPr>
          <w:i/>
        </w:rPr>
        <w:t xml:space="preserve">Scydmaenus perrisi </w:t>
      </w:r>
      <w:r>
        <w:t xml:space="preserve">(VU), </w:t>
      </w:r>
      <w:r>
        <w:rPr>
          <w:i/>
        </w:rPr>
        <w:t xml:space="preserve">Tachyusida gracilis </w:t>
      </w:r>
      <w:r>
        <w:t xml:space="preserve">(VU), </w:t>
      </w:r>
      <w:r>
        <w:rPr>
          <w:i/>
        </w:rPr>
        <w:t>Amphotis marginata</w:t>
      </w:r>
      <w:r>
        <w:t xml:space="preserve"> (NT), </w:t>
      </w:r>
      <w:r>
        <w:rPr>
          <w:i/>
        </w:rPr>
        <w:t>Cryptophagus fuscicornis</w:t>
      </w:r>
      <w:r>
        <w:t xml:space="preserve"> (NT) och </w:t>
      </w:r>
      <w:r>
        <w:rPr>
          <w:i/>
        </w:rPr>
        <w:t>Thiasophila inquilina</w:t>
      </w:r>
      <w:r>
        <w:t xml:space="preserve"> (NT) (SLU Artdatabanken, 2025).</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Ekskinn</w:t>
      </w:r>
      <w:r>
        <w:t xml:space="preserve"> är en mycket bra signalart som visar på skyddsvärda skogsområden med långvarig kontinuitet av ek där det funnits ett konstant inslag av gamla träd. Arten är en typisk representant för relikta ekbestånd i humida, gärna kustnära trakter, och klena träd som hyser arten är vanligtvis betydligt äldre än vad man först kan tro. Ekskinnet hotas främst av avverkning av aktuella och potentiella värdträd men också av att eken i vissa områden ersätts av gran eller andra trädslag. Ekskinn är typisk art för </w:t>
      </w:r>
      <w:r>
        <w:rPr>
          <w:i/>
        </w:rPr>
        <w:t xml:space="preserve">9190 Näringsfattig ekskog </w:t>
      </w:r>
      <w:r>
        <w:t>(SLU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Lundvårlök</w:t>
      </w:r>
      <w:r>
        <w:t xml:space="preserve"> visar på skyddsvärda ädellövskogar och lundar, men också på örtrika alkärr och andra lövskogsmiljöer med höga naturvärden. Många av dagens förekomster har en tydlig reliktkaraktär och är troligen mycket gamla kvarlevor från en tid då ädellövskogen hade större utbredning underden postglaciala värmetiden (stenålder-bronsåler). Lundvårlök är typisk art för </w:t>
      </w:r>
      <w:r>
        <w:rPr>
          <w:i/>
        </w:rPr>
        <w:t xml:space="preserve">9750 Svämlövskog </w:t>
      </w:r>
      <w:r>
        <w:t xml:space="preserve">och </w:t>
      </w:r>
      <w:r>
        <w:rPr>
          <w:i/>
        </w:rPr>
        <w:t xml:space="preserve">9760 Svämädellövskog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rPr>
          <w:b/>
        </w:rPr>
        <w:t>Trollpipistrell (§4a)</w:t>
      </w:r>
      <w:r>
        <w:t xml:space="preserve"> omfattas av bilaga 4 EU:s art- och habitatdirektiv vilket innebär ett strikt skydd för arten och dess livsmiljöer. Trollpipistrell förekommer i gles barr- och lövskog, i trädbärande beteshagar, i kantzoner mellan skog och odlingsmark, i närheten av sjöar och vattendrag samt i bymiljöer. Den undviker stora öppna miljöer såsom åkrar och hyggen och gynnas av ett landskap med mycket lövträd, vatten och hålträd. Under året utnyttjas många olika miljöer och ett effektivt bevarandearbete måste därför utgå från ett landskapsekologiskt perspektiv. Ett varierat landskap med hög andel äldre lövträd, småvatten, sumpskogar, öppna våtmarker, ängar och betesmarker, är gynnsamt för insekter vilket skapar förutsättningar för fladdermöss att finna tillräckligt med föda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48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66 naturvårdsarter varav 33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