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18 naturvårdsarter, varav 8 är rödlistade, 9 är fridlysta, 16 är typiska (T) och 3 är signalarter (S): ekticka (NT, T), entita (NT, T, §4), kandelabersvamp (NT, T), mindre hackspett (NT, T, §4), oxtungssvamp (NT), tallticka (NT, T), talltita (NT, §4), ullticka (NT, T), blåmossa (S, T), grön sköldmossa (S, T, §8), rostfläck (S, T), bergfink (T, §4), blåsippa (T, §9), mattlummer (T, §9), skriftlav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kandelabersvamp (NT, T), mindre hackspett (NT, T, §4), tallticka (NT, T), ullticka (NT, T), blåmossa (S, T), grön sköldmossa (S, T, §8), rostfläck (S, T), bergfink (T, §4), blåsippa (T, §9), mattlummer (T, §9), skriftlav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