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31431-2024 i Västerviks kommun</w:t>
      </w:r>
    </w:p>
    <w:p>
      <w:r>
        <w:t>Denna tillsynsbegäran behandlar höga naturvärden i avverkningsanmälan A 31431-2024 i Västerviks kommun som inkom 2024-08-01 och omfattar 1,3 ha.</w:t>
      </w:r>
    </w:p>
    <w:p>
      <w:pPr>
        <w:pStyle w:val="Caption"/>
      </w:pPr>
      <w:r>
        <w:drawing>
          <wp:inline xmlns:a="http://schemas.openxmlformats.org/drawingml/2006/main" xmlns:pic="http://schemas.openxmlformats.org/drawingml/2006/picture">
            <wp:extent cx="5486400" cy="4494770"/>
            <wp:docPr id="1" name="Picture 1"/>
            <wp:cNvGraphicFramePr>
              <a:graphicFrameLocks noChangeAspect="1"/>
            </wp:cNvGraphicFramePr>
            <a:graphic>
              <a:graphicData uri="http://schemas.openxmlformats.org/drawingml/2006/picture">
                <pic:pic>
                  <pic:nvPicPr>
                    <pic:cNvPr id="0" name="A 31431-2024 karta.png"/>
                    <pic:cNvPicPr/>
                  </pic:nvPicPr>
                  <pic:blipFill>
                    <a:blip r:embed="rId16"/>
                    <a:stretch>
                      <a:fillRect/>
                    </a:stretch>
                  </pic:blipFill>
                  <pic:spPr>
                    <a:xfrm>
                      <a:off x="0" y="0"/>
                      <a:ext cx="5486400" cy="449477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6398920, E 593894 i SWEREF 99 TM.</w:t>
      </w:r>
    </w:p>
    <w:p>
      <w:r>
        <w:t>I och inom 20 meter från avverkningsanmälan finns fynd av 9 naturvårdsarter, varav 3 är rödlistade, 7 är typiska (T) och 6 är signalarter (S): skogsalm (EN), ekticka (NT, T), skeppsvarvsfluga (NT), fällmossa (S, T), guldlockmossa (S, T), gulpudrad spiklav (S, T), myskmadra (S, T), rostfläck (S, T) och trädporella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Skeppsvarvsfluga (NT) </w:t>
      </w:r>
      <w:r>
        <w:t>är en skalbagge vars larvutveckling sker i solexponerad hård ved av stående döda eller levande lövträd, i norra Europa endast ek, i Central- och Sydeuropa även bok och kastanj. Fullbildade skalbaggar påträffas under högsommaren, ofta flygande runt lämpliga värdträd varma eftermiddagar. Arten påverkas negativt av brist på död ved och en minskning av populationen pågår eller förväntas ske. Minskningen avser kvalitén på artens habitat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ekticka (NT, T), fällmossa (S, T), guldlockmossa (S, T), gulpudrad spiklav (S, T), myskmadra (S, T), rostfläck (S, T) och trädporella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