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40004-2026 i Västerviks kommun</w:t>
      </w:r>
    </w:p>
    <w:p>
      <w:r>
        <w:t>Detta klagomål behandlar höga naturvärden i avverkningsanmälan A 40004-2026 i Västerviks kommun som inkom 2026-09-28 och omfattar 2,1 ha.</w:t>
      </w:r>
    </w:p>
    <w:p>
      <w:pPr>
        <w:pStyle w:val="Caption"/>
      </w:pPr>
      <w:r>
        <w:drawing>
          <wp:inline xmlns:a="http://schemas.openxmlformats.org/drawingml/2006/main" xmlns:pic="http://schemas.openxmlformats.org/drawingml/2006/picture">
            <wp:extent cx="5486400" cy="4536178"/>
            <wp:docPr id="1" name="Picture 1"/>
            <wp:cNvGraphicFramePr>
              <a:graphicFrameLocks noChangeAspect="1"/>
            </wp:cNvGraphicFramePr>
            <a:graphic>
              <a:graphicData uri="http://schemas.openxmlformats.org/drawingml/2006/picture">
                <pic:pic>
                  <pic:nvPicPr>
                    <pic:cNvPr id="0" name="A 40004-2026 karta.png"/>
                    <pic:cNvPicPr/>
                  </pic:nvPicPr>
                  <pic:blipFill>
                    <a:blip r:embed="rId16"/>
                    <a:stretch>
                      <a:fillRect/>
                    </a:stretch>
                  </pic:blipFill>
                  <pic:spPr>
                    <a:xfrm>
                      <a:off x="0" y="0"/>
                      <a:ext cx="5486400" cy="45361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6375817, E 580924 i SWEREF 99 TM.</w:t>
      </w:r>
    </w:p>
    <w:p>
      <w:r>
        <w:t>Inom 23 meter från avverkningsanmälan finns fynd av 7 naturvårdsarter, varav 3 är rödlistade, 5 är fridlysta, 3 är typiska (T) och 2 är signalarter (S): pärluggla (EN, T, §4), mindre hackspett (NT, T, §4), silversmygare (NT), ekoxe (S, §6), större aspvedbock (S), spillkråka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