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60440-2024 i Västerviks kommun</w:t>
      </w:r>
    </w:p>
    <w:p>
      <w:r>
        <w:t>Denna tillsynsbegäran behandlar höga naturvärden i avverkningsanmälan A 60440-2024 i Västerviks kommun som inkom 2024-12-17 och omfattar 35,5 ha.</w:t>
      </w:r>
    </w:p>
    <w:p>
      <w:pPr>
        <w:pStyle w:val="Caption"/>
      </w:pPr>
      <w:r>
        <w:drawing>
          <wp:inline xmlns:a="http://schemas.openxmlformats.org/drawingml/2006/main" xmlns:pic="http://schemas.openxmlformats.org/drawingml/2006/picture">
            <wp:extent cx="5185039" cy="5724000"/>
            <wp:docPr id="1" name="Picture 1"/>
            <wp:cNvGraphicFramePr>
              <a:graphicFrameLocks noChangeAspect="1"/>
            </wp:cNvGraphicFramePr>
            <a:graphic>
              <a:graphicData uri="http://schemas.openxmlformats.org/drawingml/2006/picture">
                <pic:pic>
                  <pic:nvPicPr>
                    <pic:cNvPr id="0" name="A 60440-2024 karta.png"/>
                    <pic:cNvPicPr/>
                  </pic:nvPicPr>
                  <pic:blipFill>
                    <a:blip r:embed="rId16"/>
                    <a:stretch>
                      <a:fillRect/>
                    </a:stretch>
                  </pic:blipFill>
                  <pic:spPr>
                    <a:xfrm>
                      <a:off x="0" y="0"/>
                      <a:ext cx="5185039"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6417702, E 593096 i SWEREF 99 TM.</w:t>
      </w:r>
    </w:p>
    <w:p>
      <w:r>
        <w:t>I och inom 4 meter från avverkningsanmälan finns fynd av 19 naturvårdsarter, varav 11 är rödlistade, 7 är fridlysta, 10 är typiska (T) och 5 är signalarter (S): knärot (VU, T, §8), apollofjäril (NT, §4a), dropptaggsvamp (NT, T), jungfrulin (NT), motaggsvamp (NT, T), reliktbock (NT, T), sommarfibbla (NT), svinrot (NT), tallticka (NT, T), talltita (NT, §4), vintertagging (NT), blodticka (S, T), blomkålssvamp (S), blåmossa (S, T), grönpyrola (S, T), korallrot (S, T, §8), spillkråka (T, §4), kungsfågel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8179008"/>
            <wp:docPr id="2" name="Picture 2"/>
            <wp:cNvGraphicFramePr>
              <a:graphicFrameLocks noChangeAspect="1"/>
            </wp:cNvGraphicFramePr>
            <a:graphic>
              <a:graphicData uri="http://schemas.openxmlformats.org/drawingml/2006/picture">
                <pic:pic>
                  <pic:nvPicPr>
                    <pic:cNvPr id="0" name="A 60440-2024 karta knärot.png"/>
                    <pic:cNvPicPr/>
                  </pic:nvPicPr>
                  <pic:blipFill>
                    <a:blip r:embed="rId17"/>
                    <a:stretch>
                      <a:fillRect/>
                    </a:stretch>
                  </pic:blipFill>
                  <pic:spPr>
                    <a:xfrm>
                      <a:off x="0" y="0"/>
                      <a:ext cx="5486400" cy="81790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6417702, E 593096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motaggsvamp (NT, T), reliktbock (NT, T), tallticka (NT, T), blodticka (S, T), blåmossa (S, T), grönpyrola (S, T), korallrot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