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27094-2024 i Västerviks kommun</w:t>
      </w:r>
    </w:p>
    <w:p>
      <w:r>
        <w:t>Detta klagomål behandlar höga naturvärden i avverkningsanmälan A 27094-2024 i Västerviks kommun som inkom 2024-06-28 och omfattar 2,4 ha.</w:t>
      </w:r>
    </w:p>
    <w:p>
      <w:pPr>
        <w:pStyle w:val="Caption"/>
      </w:pPr>
      <w:r>
        <w:drawing>
          <wp:inline xmlns:a="http://schemas.openxmlformats.org/drawingml/2006/main" xmlns:pic="http://schemas.openxmlformats.org/drawingml/2006/picture">
            <wp:extent cx="5364522" cy="5724000"/>
            <wp:docPr id="1" name="Picture 1"/>
            <wp:cNvGraphicFramePr>
              <a:graphicFrameLocks noChangeAspect="1"/>
            </wp:cNvGraphicFramePr>
            <a:graphic>
              <a:graphicData uri="http://schemas.openxmlformats.org/drawingml/2006/picture">
                <pic:pic>
                  <pic:nvPicPr>
                    <pic:cNvPr id="0" name="A 27094-2024 karta.png"/>
                    <pic:cNvPicPr/>
                  </pic:nvPicPr>
                  <pic:blipFill>
                    <a:blip r:embed="rId16"/>
                    <a:stretch>
                      <a:fillRect/>
                    </a:stretch>
                  </pic:blipFill>
                  <pic:spPr>
                    <a:xfrm>
                      <a:off x="0" y="0"/>
                      <a:ext cx="5364522"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6398723, E 579801 i SWEREF 99 TM.</w:t>
      </w:r>
    </w:p>
    <w:p>
      <w:r>
        <w:t>Inom 25 meter från avverkningsanmälan finns fynd av 4 naturvårdsarter, varav 2 är rödlistade, 2 är typiska (T) och 2 är signalarter (S): bronspraktbagge (NT), dvärgbägarlav (NT, T), blåmossa (S, T) och jättesvampmal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616490"/>
            <wp:docPr id="2" name="Picture 2"/>
            <wp:cNvGraphicFramePr>
              <a:graphicFrameLocks noChangeAspect="1"/>
            </wp:cNvGraphicFramePr>
            <a:graphic>
              <a:graphicData uri="http://schemas.openxmlformats.org/drawingml/2006/picture">
                <pic:pic>
                  <pic:nvPicPr>
                    <pic:cNvPr id="0" name="A 27094-2024 karta knärot.png"/>
                    <pic:cNvPicPr/>
                  </pic:nvPicPr>
                  <pic:blipFill>
                    <a:blip r:embed="rId17"/>
                    <a:stretch>
                      <a:fillRect/>
                    </a:stretch>
                  </pic:blipFill>
                  <pic:spPr>
                    <a:xfrm>
                      <a:off x="0" y="0"/>
                      <a:ext cx="5486400" cy="561649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6398723, E 579801 i SWEREF 99 TM.</w:t>
      </w:r>
    </w:p>
    <w:p>
      <w:r>
        <w:rPr>
          <w:b/>
        </w:rPr>
        <w:t>Bronspraktbagge (NT)</w:t>
      </w:r>
      <w:r>
        <w:t xml:space="preserve"> är en skalbagge vars larvutveckling sker i solexponerad, stående död ved av tall och gran. Arten missgynnas genom att glesa, äldre barrskogar avverkas och ersätts med täta barrträdsplanteringar. Äldre, glesa barrskogar med gott om grov död ved i främst sydöstra Sverige bör bevaras i sin helhet och inte avverkas. Bränd barrskog bör bevaras intakt, och naturvårdsbränningar är positivt. Torra, solexponerade barrträd i skogen bör få vara kvar, och inte plockas ut som exempelvis biobränsle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