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27727-2024 i Västerviks kommun</w:t>
      </w:r>
    </w:p>
    <w:p>
      <w:r>
        <w:t>Detta klagomål behandlar höga naturvärden i avverkningsanmälan A 27727-2024 i Västerviks kommun som inkom 2024-07-02 och omfattar 9,8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27727-2024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6398252, E 579377 i SWEREF 99 TM.</w:t>
      </w:r>
    </w:p>
    <w:p>
      <w:r>
        <w:t>I och inom 24 meter från avverkningsanmälan finns fynd av 19 naturvårdsarter, varav 9 är rödlistade, 10 är fridlysta, 17 är typiska (T) och 3 är signalarter (S): knärot (VU, T, §8), ekticka (NT, T), entita (NT, T, §4), kandelabersvamp (NT, T), mindre hackspett (NT, T, §4), oxtungssvamp (NT), tallticka (NT, T), talltita (NT, §4), ullticka (NT, T), blåmossa (S, T), grön sköldmossa (S, T, §8), rostfläck (S, T), bergfink (T, §4), blåsippa (T, §9), mattlummer (T, §9), skriftlav (T), spillkråka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05452"/>
            <wp:docPr id="2" name="Picture 2"/>
            <wp:cNvGraphicFramePr>
              <a:graphicFrameLocks noChangeAspect="1"/>
            </wp:cNvGraphicFramePr>
            <a:graphic>
              <a:graphicData uri="http://schemas.openxmlformats.org/drawingml/2006/picture">
                <pic:pic>
                  <pic:nvPicPr>
                    <pic:cNvPr id="0" name="A 27727-2024 karta knärot.png"/>
                    <pic:cNvPicPr/>
                  </pic:nvPicPr>
                  <pic:blipFill>
                    <a:blip r:embed="rId17"/>
                    <a:stretch>
                      <a:fillRect/>
                    </a:stretch>
                  </pic:blipFill>
                  <pic:spPr>
                    <a:xfrm>
                      <a:off x="0" y="0"/>
                      <a:ext cx="5486400" cy="7005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6398252, E 579377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