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27737-2024 i Västerviks kommun</w:t>
      </w:r>
    </w:p>
    <w:p>
      <w:r>
        <w:t>Detta klagomål behandlar höga naturvärden i avverkningsanmälan A 27737-2024 i Västerviks kommun som inkom 2024-07-02 och omfattar 2,7 ha.</w:t>
      </w:r>
    </w:p>
    <w:p>
      <w:pPr>
        <w:pStyle w:val="Caption"/>
      </w:pPr>
      <w:r>
        <w:drawing>
          <wp:inline xmlns:a="http://schemas.openxmlformats.org/drawingml/2006/main" xmlns:pic="http://schemas.openxmlformats.org/drawingml/2006/picture">
            <wp:extent cx="5486400" cy="5283066"/>
            <wp:docPr id="1" name="Picture 1"/>
            <wp:cNvGraphicFramePr>
              <a:graphicFrameLocks noChangeAspect="1"/>
            </wp:cNvGraphicFramePr>
            <a:graphic>
              <a:graphicData uri="http://schemas.openxmlformats.org/drawingml/2006/picture">
                <pic:pic>
                  <pic:nvPicPr>
                    <pic:cNvPr id="0" name="A 27737-2024 karta.png"/>
                    <pic:cNvPicPr/>
                  </pic:nvPicPr>
                  <pic:blipFill>
                    <a:blip r:embed="rId16"/>
                    <a:stretch>
                      <a:fillRect/>
                    </a:stretch>
                  </pic:blipFill>
                  <pic:spPr>
                    <a:xfrm>
                      <a:off x="0" y="0"/>
                      <a:ext cx="5486400" cy="528306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6398175, E 579245 i SWEREF 99 TM.</w:t>
      </w:r>
    </w:p>
    <w:p>
      <w:r>
        <w:t>I och inom 22 meter från avverkningsanmälan finns fynd av 11 naturvårdsarter, varav 4 är rödlistade, 6 är fridlysta, 9 är typiska (T) och 2 är signalarter (S): ekticka (NT, T), oxtungssvamp (NT), talltita (NT, §4), ullticka (NT, T), grön sköldmossa (S, T, §8), rostfläck (S, T), blåsippa (T, §9), kransmossa (T), mattlummer (T, §9),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