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30779-2023 i Västerviks kommun</w:t>
      </w:r>
    </w:p>
    <w:p>
      <w:r>
        <w:t>Detta klagomål behandlar höga naturvärden i avverkningsanmälan A 30779-2023 i Västerviks kommun som inkom 2023-07-05 och omfattar 14,5 ha.</w:t>
      </w:r>
    </w:p>
    <w:p>
      <w:pPr>
        <w:pStyle w:val="Caption"/>
      </w:pPr>
      <w:r>
        <w:drawing>
          <wp:inline xmlns:a="http://schemas.openxmlformats.org/drawingml/2006/main" xmlns:pic="http://schemas.openxmlformats.org/drawingml/2006/picture">
            <wp:extent cx="5486400" cy="4485930"/>
            <wp:docPr id="1" name="Picture 1"/>
            <wp:cNvGraphicFramePr>
              <a:graphicFrameLocks noChangeAspect="1"/>
            </wp:cNvGraphicFramePr>
            <a:graphic>
              <a:graphicData uri="http://schemas.openxmlformats.org/drawingml/2006/picture">
                <pic:pic>
                  <pic:nvPicPr>
                    <pic:cNvPr id="0" name="A 30779-2023 karta.png"/>
                    <pic:cNvPicPr/>
                  </pic:nvPicPr>
                  <pic:blipFill>
                    <a:blip r:embed="rId16"/>
                    <a:stretch>
                      <a:fillRect/>
                    </a:stretch>
                  </pic:blipFill>
                  <pic:spPr>
                    <a:xfrm>
                      <a:off x="0" y="0"/>
                      <a:ext cx="5486400" cy="448593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6396192, E 594972 i SWEREF 99 TM.</w:t>
      </w:r>
    </w:p>
    <w:p>
      <w:r>
        <w:t>I och inom 11 meter från avverkningsanmälan finns fynd av 16 naturvårdsarter, varav 11 är rödlistade, 5 är fridlysta, 9 är typiska (T) och 3 är signalarter (S): apelticka (VU), knärot (VU, T, §8), sandödla (VU, §4a), knölspindel (NT), koralltaggsvamp (NT, T), motaggsvamp (NT, T), orange taggsvamp (NT, T), svartvit taggsvamp (NT), tallticka (NT, T), talltita (NT, §4), tjockfotad fingersvamp (NT), blåmossa (S, T), grovticka (S, T), grönpyrola (S,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Apelticka (VU) </w:t>
      </w:r>
      <w:r>
        <w:t>är en nedbrytare i gamla, levande, skadade, ibland döda, stammar av asp, ask, apel i hagmark, parker, alléer, trädgårdar samt i löv- och blandskog. Arten hotas av avverkning av värdträd och passande värdträd på svampens växtplatser. Även minskad tillgång på asp i skogslandskapet missgynnar arten. I kulturlandskapet måste särskilt gamla aplar och askar bevaras. I skogsmiljö måste fler bestånd med grov asp få möjlighet att fortleva. Vid skötsel av parker och alléer bör träd med den vedrötande apeltickan sparas så länge det är möjligt (SLU Artdatabanken, 2025).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5.83 ha med buffertzonerna och får av detta skäl inte avverkas.</w:t>
      </w:r>
    </w:p>
    <w:p>
      <w:pPr>
        <w:pStyle w:val="Caption"/>
      </w:pPr>
      <w:r>
        <w:drawing>
          <wp:inline xmlns:a="http://schemas.openxmlformats.org/drawingml/2006/main" xmlns:pic="http://schemas.openxmlformats.org/drawingml/2006/picture">
            <wp:extent cx="5486400" cy="5712137"/>
            <wp:docPr id="2" name="Picture 2"/>
            <wp:cNvGraphicFramePr>
              <a:graphicFrameLocks noChangeAspect="1"/>
            </wp:cNvGraphicFramePr>
            <a:graphic>
              <a:graphicData uri="http://schemas.openxmlformats.org/drawingml/2006/picture">
                <pic:pic>
                  <pic:nvPicPr>
                    <pic:cNvPr id="0" name="A 30779-2023 karta knärot.png"/>
                    <pic:cNvPicPr/>
                  </pic:nvPicPr>
                  <pic:blipFill>
                    <a:blip r:embed="rId17"/>
                    <a:stretch>
                      <a:fillRect/>
                    </a:stretch>
                  </pic:blipFill>
                  <pic:spPr>
                    <a:xfrm>
                      <a:off x="0" y="0"/>
                      <a:ext cx="5486400" cy="57121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6396192, E 594972 i SWEREF 99 TM.</w:t>
      </w:r>
    </w:p>
    <w:p>
      <w:r>
        <w:rPr>
          <w:b/>
        </w:rPr>
        <w:t>Knölspindel (NT)</w:t>
      </w:r>
      <w:r>
        <w:t xml:space="preserve"> lever i äldre, ljusluckiga blandskogar, en skogstyp som har minskat mycket under senare decennier, till följd av upphört skogsbete och avverkning av gamla, heterogena skogsbestånd. Arten spinner mycket stora nät med relativt kraftig silkestråd, ofta på tall eller mellan enbuskar. En minskning av populationen pågår eller förväntas ske. Minskningen avser förekomstarea, kvalitén på artens habitat och antalet lokalområden (SLU Artdatabanken, 2026).</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