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1521-2023 i Västerviks kommun</w:t>
      </w:r>
    </w:p>
    <w:p>
      <w:r>
        <w:t>Detta klagomål behandlar höga naturvärden i samrådsanmälan S 1521-2023 i Västerviks kommun som inkom 2023-05-09 och omfattar 4,3 ha.</w:t>
      </w:r>
    </w:p>
    <w:p>
      <w:pPr>
        <w:pStyle w:val="Caption"/>
      </w:pPr>
      <w:r>
        <w:drawing>
          <wp:inline xmlns:a="http://schemas.openxmlformats.org/drawingml/2006/main" xmlns:pic="http://schemas.openxmlformats.org/drawingml/2006/picture">
            <wp:extent cx="5486400" cy="5649478"/>
            <wp:docPr id="1" name="Picture 1"/>
            <wp:cNvGraphicFramePr>
              <a:graphicFrameLocks noChangeAspect="1"/>
            </wp:cNvGraphicFramePr>
            <a:graphic>
              <a:graphicData uri="http://schemas.openxmlformats.org/drawingml/2006/picture">
                <pic:pic>
                  <pic:nvPicPr>
                    <pic:cNvPr id="0" name="S 1521-2023 karta.png"/>
                    <pic:cNvPicPr/>
                  </pic:nvPicPr>
                  <pic:blipFill>
                    <a:blip r:embed="rId16"/>
                    <a:stretch>
                      <a:fillRect/>
                    </a:stretch>
                  </pic:blipFill>
                  <pic:spPr>
                    <a:xfrm>
                      <a:off x="0" y="0"/>
                      <a:ext cx="5486400" cy="5649478"/>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6401693, E 595920 i SWEREF 99 TM.</w:t>
      </w:r>
    </w:p>
    <w:p>
      <w:r>
        <w:t>I och inom 17 meter från samrådsanmälan finns fynd av 5 naturvårdsarter, varav 3 är rödlistade, 2 är fridlysta, 4 är typiska (T) och 2 är signalarter (S): mindre hackspett (NT, T, §4), rosa skärelav (NT, T), tallticka (NT, T), bokoxe (S, 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