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2250-2024 i Västerviks kommun</w:t>
      </w:r>
    </w:p>
    <w:p>
      <w:r>
        <w:t>Denna tillsynsbegäran behandlar höga naturvärden i samrådsanmälan S 2250-2024 i Västerviks kommun som inkom 2024-06-18 och omfattar 40,9 ha.</w:t>
      </w:r>
    </w:p>
    <w:p>
      <w:pPr>
        <w:pStyle w:val="Caption"/>
      </w:pPr>
      <w:r>
        <w:drawing>
          <wp:inline xmlns:a="http://schemas.openxmlformats.org/drawingml/2006/main" xmlns:pic="http://schemas.openxmlformats.org/drawingml/2006/picture">
            <wp:extent cx="5486400" cy="4861273"/>
            <wp:docPr id="1" name="Picture 1"/>
            <wp:cNvGraphicFramePr>
              <a:graphicFrameLocks noChangeAspect="1"/>
            </wp:cNvGraphicFramePr>
            <a:graphic>
              <a:graphicData uri="http://schemas.openxmlformats.org/drawingml/2006/picture">
                <pic:pic>
                  <pic:nvPicPr>
                    <pic:cNvPr id="0" name="S 2250-2024 karta.png"/>
                    <pic:cNvPicPr/>
                  </pic:nvPicPr>
                  <pic:blipFill>
                    <a:blip r:embed="rId16"/>
                    <a:stretch>
                      <a:fillRect/>
                    </a:stretch>
                  </pic:blipFill>
                  <pic:spPr>
                    <a:xfrm>
                      <a:off x="0" y="0"/>
                      <a:ext cx="5486400" cy="48612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6404509, E 597631 i SWEREF 99 TM.</w:t>
      </w:r>
    </w:p>
    <w:p>
      <w:r>
        <w:t>I och inom 24 meter från samrådsanmälan finns fynd av 77 naturvårdsarter, varav 40 är rödlistade, 28 är fridlysta, 20 är typiska (T) och 22 är signalarter (S): ejder (EN, §4), havstrut (EN, §4), skogsalm (EN), bergand (VU, §4), ekspik (VU), glänsande blombagge (VU), gråtrut (VU, §4), läderbagge (VU, §4a), matt mjölbagge (VU), stare (VU, §4), tornseglare (VU, §4), ädelkronlav (VU), apelsinticka (NT), Armadillidium opacum (NT), blekticka (NT, T), blåmussla (NT), ekticka (NT, T), gammelekslav (NT, T), gul dropplav (NT), göktyta (NT, §4), hjälmbrosklav (NT), jungfrulin (NT), korallticka (NT), korskovall (NT), mindre hackspett (NT, T, §4), mindre tåtelsmygare (NT), oxtungssvamp (NT), reliktbock (NT, T), rosa skärelav (NT, T), scharlakansvaxing (NT), skeppsvarvsfluga (NT), skrattmås (NT, §4), skuggorangelav (NT), sminkrot (NT), solvända (NT), strandskata (NT, §4), sädesärla (NT, §4), tallticka (NT, T), vintertagging (NT), åkerkulla (NT), blanksvart trämyra (S), blodvaxing (S), blompraktbagge (S), blåmossa (S, T), brun nållav (S), ekoxe (S, §6), fällmossa (S, T), grovticka (S, T), grå skärelav (S), guldlockmossa (S, T), gulpudrad spiklav (S, T), hasselsopp (S), jättesvampmal (S), lundvårlök (S, T), lönnlav (S), murgröna (S, T), rostfläck (S, T), rävticka (S, T), scharlakansskål (S), sotlav (S, T), sprödvaxing (S), vitvaxing agg. (S), blåsippa (T, §9), spillkråka (T, §4), tjäder (T, §4), gröngöling (§4), grönsiska (§4), kråka (§4), kungsfågel (§4), näktergal (§4), svartvit flugsnappare (§4), sångsvan (§4), trädlärka (§4), ärtsångare (§4), huggorm (§6), kopparödla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Matt mjölbagge (VU)</w:t>
      </w:r>
      <w:r>
        <w:t xml:space="preserve"> är en skalbagge vars larvutveckling sker i mulm i stamhåligheter av lövträd, främst i grova, ihåliga levande ekar. Arten påverkas negativt av brist på grova eller gamla träd och en minskning av populationen pågår eller förväntas ske. Minskningen avser kvalitén på artens habitat (SLU Artdatabanken, 2025).</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gammelekslav (NT, T), mindre hackspett (NT, T, §4), reliktbock (NT, T), rosa skärelav (NT, T), tallticka (NT, T), blåmossa (S, T), fällmossa (S, T), grovticka (S, T), guldlockmossa (S, T), gulpudrad spiklav (S, T), lundvårlök (S, T), murgröna (S, T), rostfläck (S, T), rävticka (S, T), sotlav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