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58937-2022 i Västerviks kommun</w:t>
      </w:r>
    </w:p>
    <w:p>
      <w:r>
        <w:t>Denna tillsynsbegäran behandlar höga naturvärden i avverkningsanmälan A 58937-2022 i Västerviks kommun som inkom 2022-12-01 och omfattar 10,6 ha.</w:t>
      </w:r>
    </w:p>
    <w:p>
      <w:pPr>
        <w:pStyle w:val="Caption"/>
      </w:pPr>
      <w:r>
        <w:drawing>
          <wp:inline xmlns:a="http://schemas.openxmlformats.org/drawingml/2006/main" xmlns:pic="http://schemas.openxmlformats.org/drawingml/2006/picture">
            <wp:extent cx="5486400" cy="5284814"/>
            <wp:docPr id="1" name="Picture 1"/>
            <wp:cNvGraphicFramePr>
              <a:graphicFrameLocks noChangeAspect="1"/>
            </wp:cNvGraphicFramePr>
            <a:graphic>
              <a:graphicData uri="http://schemas.openxmlformats.org/drawingml/2006/picture">
                <pic:pic>
                  <pic:nvPicPr>
                    <pic:cNvPr id="0" name="A 58937-2022 karta.png"/>
                    <pic:cNvPicPr/>
                  </pic:nvPicPr>
                  <pic:blipFill>
                    <a:blip r:embed="rId16"/>
                    <a:stretch>
                      <a:fillRect/>
                    </a:stretch>
                  </pic:blipFill>
                  <pic:spPr>
                    <a:xfrm>
                      <a:off x="0" y="0"/>
                      <a:ext cx="5486400" cy="5284814"/>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6423312, E 568169 i SWEREF 99 TM.</w:t>
      </w:r>
    </w:p>
    <w:p>
      <w:r>
        <w:t>I och inom 25 meter från avverkningsanmälan finns fynd av 29 naturvårdsarter, varav 11 är rödlistade, 9 är fridlysta, 19 är typiska (T) och 12 är signalarter (S): fransporing (VU), gränsticka (VU, T), knärot (VU, T, §8), apelsinticka (NT), dvärgbägarlav (NT, T), grönsångare (NT, §4), hornvaxskinn (NT), kolflarnlav (NT, T), tallticka (NT, T), talltita (NT, §4), vedskivlav (NT, T), blodticka (S, T), blåmossa (S, T), bronshjon (S, T), flagellkvastmossa (S, T), grovticka (S, T), grönpyrola (S, T), kornknutmossa (S, T), nästlav (S, T), sotlav (S, T), thomsons trägnagare (S), vedticka (S, T), vågbandad barkbock (S), blåsippa (T, §9), spillkråka (T, §4), tofsmes (T, §4), kungsfågel (§4), svartvit flugsnappare (§4)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Fransporing (VU)</w:t>
      </w:r>
      <w:r>
        <w:t xml:space="preserve"> växer främst på starkt murken ved av gran och tall, sällan en, björk, hassel och annat lövträd i barr- och blandskog. Arten hotas av brist på lämpliga växtplatser eftersom det i kulturskogen ofta råder brist på lågor i sena nedbrytningsstadier. Arten har sin tyngdpunkt i södra delen av landet där bristen på äldre skog i naturtillstånd är särskilt påtaglig. Fler områden med äldre skog där arten finns bör sparas i södra Sverige även om de är små. För säker artbestämning behöver arten mikroskoperas (SLU Artdatabanken, 2025).</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80 fyndplatser för knärot registrerade på Artportalen. Figur 2 visar gränserna för buffertzoner på 50 m, som behöver lämnas kring fyndplatserna för att knärotslokalerna inte ska försvinna vid en avverkning. Av det avverkningsanmälda området överlappar 7.03 ha med buffertzonerna och får av detta skäl inte avverkas.</w:t>
      </w:r>
    </w:p>
    <w:p>
      <w:pPr>
        <w:pStyle w:val="Caption"/>
      </w:pPr>
      <w:r>
        <w:drawing>
          <wp:inline xmlns:a="http://schemas.openxmlformats.org/drawingml/2006/main" xmlns:pic="http://schemas.openxmlformats.org/drawingml/2006/picture">
            <wp:extent cx="5486400" cy="6914432"/>
            <wp:docPr id="2" name="Picture 2"/>
            <wp:cNvGraphicFramePr>
              <a:graphicFrameLocks noChangeAspect="1"/>
            </wp:cNvGraphicFramePr>
            <a:graphic>
              <a:graphicData uri="http://schemas.openxmlformats.org/drawingml/2006/picture">
                <pic:pic>
                  <pic:nvPicPr>
                    <pic:cNvPr id="0" name="A 58937-2022 karta knärot.png"/>
                    <pic:cNvPicPr/>
                  </pic:nvPicPr>
                  <pic:blipFill>
                    <a:blip r:embed="rId17"/>
                    <a:stretch>
                      <a:fillRect/>
                    </a:stretch>
                  </pic:blipFill>
                  <pic:spPr>
                    <a:xfrm>
                      <a:off x="0" y="0"/>
                      <a:ext cx="5486400" cy="6914432"/>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6423312, E 568169 i SWEREF 99 TM.</w:t>
      </w:r>
    </w:p>
    <w:p>
      <w:r>
        <w:rPr>
          <w:b/>
        </w:rPr>
        <w:t xml:space="preserve">Apelsinticka (NT) </w:t>
      </w:r>
      <w:r>
        <w:t>växer mestadels på liggande ved av tall men även på granved. Artens ekologi och utbredning bör utredas ytterligare. Särskilt bör den eftersökas i de delar av Norrland där den ännu ej är funnen. I väntan på ytterligare detaljer om artens ståndortskrav bör fler tallskogar av naturskogskaraktär och med god tillgång på lågor sparas (SLU Artdatabanken, 2024).</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Grönsångare (NT, §4)</w:t>
      </w:r>
      <w:r>
        <w:t xml:space="preserve"> är rödlistad som nära hotad (NT) och fridlyst enligt 4§ artskyddsförordningen. Den har minskat med 17 (6–24) % under de senaste 10 åren och minskningstakten för den svenska populationen bedöms vara nära gränsvärdet för Sårbar (VU). (A2b). Arten häckar i högstammig skog, främst lövskog men även i granskog, i regel utan kraftigare undervegetation. Den förekommer i södra och mellersta Sverige samt i Norrlands kustland norrut till Norrbotten. Förekommer dessutom sällsynt i Norrlands inland (SLU Artdatabanken, 2024). Orsaken till grönsångarens nedgång och är oklar varvid det är viktigt att försiktighetsprincipen enligt 2 kap. 3 § miljöbalken tillämpas för att bevara artens livsmiljöer och vända den negativa trenden.</w:t>
      </w:r>
    </w:p>
    <w:p>
      <w:r>
        <w:rPr>
          <w:b/>
        </w:rPr>
        <w:t xml:space="preserve">Hornvaxskinn (NT) </w:t>
      </w:r>
      <w:r>
        <w:t>påträffas på gamla senvuxna, torra och hårda lågor i gamla naturskogsartade eller plockhuggna tallskogar i norra Sverige. Arten hotas av avverkning av naturskogsartade tallskogar och uttag av torrakor till timring av byggnader. Avverkning av naturskogsliknande tallskogar bör ej förekomma (SLU Artdatabanken, 2024).</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Blodticka </w:t>
      </w:r>
      <w:r>
        <w:t xml:space="preserve">är i norra Sverige främst knuten till grova granlågor i urskogsartad barrskog, men förekommer ibland även på klenare granar i anslutning till bäckar och sumpskogar. Den är en bra indikator på granskogar med höga naturvärden och oftast förekommer den tillsammans med ett stort antal ovanliga och rödlistade arter. I södra Sverige växer den framför allt på tall och har då ett lägre signalvärde. Blodticka är typisk art för </w:t>
      </w:r>
      <w:r>
        <w:rPr>
          <w:i/>
        </w:rPr>
        <w:t>9030 Landhöjningsskog</w:t>
      </w:r>
      <w:r>
        <w:t xml:space="preserve"> (SLU Artdatabanken, 2025; Nitare &amp; Skogsstyrelsen, 2019).</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Flagellkvastmossa</w:t>
      </w:r>
      <w:r>
        <w:t xml:space="preserve"> förekommer framför allt i tallsumpskog, men finns även i relativt torra gran- och tallskogar. Den signalerar överallt skogsmiljöer med höga naturvärden och indikerar biotoper med rik och kontinuerlig förekomst av död ved i olika nedbrytningsstadier eller barlagd torvjord. Flagellkvastmossa är typisk art för </w:t>
      </w:r>
      <w:r>
        <w:rPr>
          <w:i/>
        </w:rPr>
        <w:t xml:space="preserve">9010 Taiga </w:t>
      </w:r>
      <w:r>
        <w:t>och</w:t>
      </w:r>
      <w:r>
        <w:rPr>
          <w:i/>
        </w:rPr>
        <w:t xml:space="preserve"> 9740 Skogsbevuxen myr </w:t>
      </w:r>
      <w:r>
        <w:t>(SLU Artdatabanken, 2024; Nitare &amp; Skogsstyrelsen, 2019).</w:t>
      </w:r>
    </w:p>
    <w:p>
      <w:r>
        <w:rPr>
          <w:b/>
        </w:rPr>
        <w:t>Grovticka</w:t>
      </w:r>
      <w:r>
        <w:t xml:space="preserve"> är i skogslandskapet främst knuten till naturskogsartad äldre barrskog. Den är där en värdefull ”gammelskogsindikator” och påträffas mest vid tallar som är över 200 år gamla.  Grovticka är typisk art för </w:t>
      </w:r>
      <w:r>
        <w:rPr>
          <w:i/>
        </w:rPr>
        <w:t xml:space="preserve">9060 Åsbarrskog </w:t>
      </w:r>
      <w:r>
        <w:t>(Nitare &amp; Skogsstyrelsen, 2019; SLU Artdatabanken, 2025).</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Kornknutmossa</w:t>
      </w:r>
      <w:r>
        <w:t xml:space="preserve"> växer främst på grova lågor i sumpskog och myrkanter och indikerar miljöer med rik och jämn tillgång på fuktigt liggande ved. En typisk växtplats i södra Sverige är naturskogsartad gransumpskog. Samtliga skogsskötselåtgärder på eller i omedelbar närhet av lokalerna utgör ett hot. Fragmenteringen av skogslandskapet liksom minskad mängd död ved är ett långsiktigt hot mot denna art. Kornknutmossa är typisk art för </w:t>
      </w:r>
      <w:r>
        <w:rPr>
          <w:i/>
        </w:rPr>
        <w:t xml:space="preserve">9010 Taiga </w:t>
      </w:r>
      <w:r>
        <w:t>och</w:t>
      </w:r>
      <w:r>
        <w:rPr>
          <w:i/>
        </w:rPr>
        <w:t xml:space="preserve"> 9740 Skogsbevuxen myr</w:t>
      </w:r>
      <w:r>
        <w:t xml:space="preserve"> (SLU Artdatabanken, 2024; Nitare &amp; Skogsstyrelsen, 2019).</w:t>
      </w:r>
    </w:p>
    <w:p>
      <w:r>
        <w:rPr>
          <w:b/>
        </w:rPr>
        <w:t>Nästlav</w:t>
      </w:r>
      <w:r>
        <w:t xml:space="preserve"> indikerar söder om den naturliga norrlandsgränsen äldre barrskogsområden med höga naturvärden där andra ovanliga nordliga barrskogsarter kan påträffas. Nästlav är typisk art för </w:t>
      </w:r>
      <w:r>
        <w:rPr>
          <w:i/>
        </w:rPr>
        <w:t xml:space="preserve">9010 Taiga </w:t>
      </w:r>
      <w:r>
        <w:t>(Nitare &amp; Skogsstyrelsen, 2019; SLU Artdatabanken, 2025).</w:t>
      </w:r>
    </w:p>
    <w:p>
      <w:r>
        <w:rPr>
          <w:b/>
        </w:rPr>
        <w:t>Sotlav</w:t>
      </w:r>
      <w:r>
        <w:t xml:space="preserve"> är överallt en mycket bra signalart och visar alltid på skogsmiljöer med höga naturvärden. Den indikerar långvarig förekomst av gamla eller döda träd. På lavens växtlokaler finns vanligen många andra ovanliga arter. Sotlav är typisk art för </w:t>
      </w:r>
      <w:r>
        <w:rPr>
          <w:i/>
        </w:rPr>
        <w:t xml:space="preserve">9010 Taiga </w:t>
      </w:r>
      <w:r>
        <w:t>och</w:t>
      </w:r>
      <w:r>
        <w:rPr>
          <w:i/>
        </w:rPr>
        <w:t xml:space="preserve"> 9070 Trädklädd betesmark</w:t>
      </w:r>
      <w:r>
        <w:t xml:space="preserve"> (Nitare &amp; Skogsstyrelsen, 2019;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Tofsmes (§4)</w:t>
      </w:r>
      <w:r>
        <w:t xml:space="preserve"> häckar i barr- och blandskog, främst i tallskog. Tofsmes är typisk art för </w:t>
      </w:r>
      <w:r>
        <w:rPr>
          <w:i/>
        </w:rPr>
        <w:t xml:space="preserve">9010 Taiga </w:t>
      </w:r>
      <w:r>
        <w:t>(SLU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gränsticka (VU, T), knärot (VU, T, §8), dvärgbägarlav (NT, T), kolflarnlav (NT, T), tallticka (NT, T), vedskivlav (NT, T), blodticka (S, T), blåmossa (S, T), bronshjon (S, T), flagellkvastmossa (S, T), grovticka (S, T), grönpyrola (S, T), kornknutmossa (S, T), nästlav (S, T), sotlav (S, T), vedticka (S, T), blåsippa (T, §9), spillkråka (T, §4) och tofsmes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