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18 meter från avverkningsanmälan finns fynd av 9 naturvårdsarter, varav 6 är rödlistade, 5 är fridlysta, 6 är typiska (T) och 1 är signalart (S): ekticka (NT, T), mindre hackspett (NT, T, §4), nötkråka (NT, T, §4), rutskinn (NT, T), svartvit taggsvamp (NT), talltita (NT, §4), blompraktbagge (S),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nötkråka (NT, T, §4), rutskinn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