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1320-2026 i Västerviks kommun</w:t>
      </w:r>
    </w:p>
    <w:p>
      <w:r>
        <w:t>Denna tillsynsbegäran behandlar höga naturvärden i samrådsanmälan S 1320-2026 i Västerviks kommun som inkom 2026-05-05 och omfattar 0,1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S 1320-2026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6420629, E 598483 i SWEREF 99 TM.</w:t>
      </w:r>
    </w:p>
    <w:p>
      <w:r>
        <w:t>Inom 17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586324"/>
            <wp:docPr id="2" name="Picture 2"/>
            <wp:cNvGraphicFramePr>
              <a:graphicFrameLocks noChangeAspect="1"/>
            </wp:cNvGraphicFramePr>
            <a:graphic>
              <a:graphicData uri="http://schemas.openxmlformats.org/drawingml/2006/picture">
                <pic:pic>
                  <pic:nvPicPr>
                    <pic:cNvPr id="0" name="S 1320-2026 karta knärot.png"/>
                    <pic:cNvPicPr/>
                  </pic:nvPicPr>
                  <pic:blipFill>
                    <a:blip r:embed="rId17"/>
                    <a:stretch>
                      <a:fillRect/>
                    </a:stretch>
                  </pic:blipFill>
                  <pic:spPr>
                    <a:xfrm>
                      <a:off x="0" y="0"/>
                      <a:ext cx="5486400" cy="558632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6420629, E 598483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