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som inkom 2025-03-24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2"/>
      </w:pPr>
      <w:r>
        <w:t>Fridlysta arter</w:t>
      </w:r>
    </w:p>
    <w:p>
      <w:r>
        <w:t>Följande fridlysta arter har sina livsmiljöer och växtplatser i den avverkningsanmälda skogen: grönfink (VU, §4), sandödla (VU, §4a), brunlångöra (NT, §4a), entita (NT, T, §4), nordfladdermus (NT, §4a), ekoxe (S, §6), grönsiska (§4), kungsfågel (§4), svartvit flugsnappare (§4), åkergroda (§4a), huggorm (§6), kopparödla (§6), skogsödla (§6), vanlig groda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