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som inkom 2021-10-29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21 naturvårdsarter hittats: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2"/>
      </w:pPr>
      <w:r>
        <w:t>Fridlysta arter</w:t>
      </w:r>
    </w:p>
    <w:p>
      <w:r>
        <w:t>Följande fridlysta arter har sina livsmiljöer och växtplatser i den avverkningsanmälda skogen: hornuggla (EN, §4), gråtrut (VU, §4), sandödla (VU, §4a), entita (NT, T, §4), kricka (NT, §4), mindre hackspett (NT, T, §4), sädesärla (NT, §4), ekoxe (S, §6), gråsiska (T, §4), stjärtmes (T, §4), tofsmes (T, §4), fiskgjuse (§4), gröngöling (§4), grönsiska (§4), havsörn (§4), trana (§4), trädlärka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