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som inkom 2025-01-21 och omfattar 0,7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