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42892-2025 i Västerviks kommun</w:t>
      </w:r>
    </w:p>
    <w:p>
      <w:r>
        <w:t>Denna tillsynsbegäran behandlar höga naturvärden i avverkningsanmälan A 42892-2025 i Västerviks kommun som inkom 2025-09-08 och omfattar 19,3 ha.</w:t>
      </w:r>
    </w:p>
    <w:p>
      <w:pPr>
        <w:pStyle w:val="Caption"/>
      </w:pPr>
      <w:r>
        <w:drawing>
          <wp:inline xmlns:a="http://schemas.openxmlformats.org/drawingml/2006/main" xmlns:pic="http://schemas.openxmlformats.org/drawingml/2006/picture">
            <wp:extent cx="4286115" cy="5724000"/>
            <wp:docPr id="1" name="Picture 1"/>
            <wp:cNvGraphicFramePr>
              <a:graphicFrameLocks noChangeAspect="1"/>
            </wp:cNvGraphicFramePr>
            <a:graphic>
              <a:graphicData uri="http://schemas.openxmlformats.org/drawingml/2006/picture">
                <pic:pic>
                  <pic:nvPicPr>
                    <pic:cNvPr id="0" name="A 42892-2025 karta.png"/>
                    <pic:cNvPicPr/>
                  </pic:nvPicPr>
                  <pic:blipFill>
                    <a:blip r:embed="rId16"/>
                    <a:stretch>
                      <a:fillRect/>
                    </a:stretch>
                  </pic:blipFill>
                  <pic:spPr>
                    <a:xfrm>
                      <a:off x="0" y="0"/>
                      <a:ext cx="428611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6397161, E 577466 i SWEREF 99 TM.</w:t>
      </w:r>
    </w:p>
    <w:p>
      <w:r>
        <w:t>I och inom 25 meter från avverkningsanmälan finns fynd av 24 naturvårdsarter, varav 7 är rödlistade, 5 är fridlysta, 15 är typiska (T) och 15 är signalarter (S): garnlav (VU, T), knärot (VU, T, §8), ekticka (NT, T), spinnfingersvamp (NT), tallticka (NT, T), talltita (NT, §4), ullticka (NT, T), blodticka (S, T), blomkålssvamp (S), blomskägglav (S, T), brandticka (S), bronshjon (S, T), dolkstekelsglasvinge (S), granbarkgnagare (S, T), grön sköldmossa (S, T, §8), grönpyrola (S, T), gullgröppa (S), jättesvampmal (S), trådticka (S, T), vedticka (S, T), vågbandad barkbock (S), zontaggsvamp (S),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75 fyndplatser för knärot registrerade på Artportalen. Figur 2 visar gränserna för buffertzoner på 50 m, som behöver lämnas kring fyndplatserna för att knärotslokalerna inte ska försvinna vid en avverkning. Av det avverkningsanmälda området överlappar 10.45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42892-2025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6397161, E 577466 i SWEREF 99 TM.</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Spinnfingersvamp (NT) </w:t>
      </w:r>
      <w:r>
        <w:t>är främst knuten till gamla skogsmiljöer med lång trädkontinuitet, granskog, men även i lövskog. I kalkrika marker växer den även på döda enbuskar. Den är överallt en mycket bra signalart och på växtplatserna förekommer normalt många andra sällsynta och rödlistade arter. Arten missgynnas troligen av skogsbruk och den ökande exponering som blir följden av gallring och kalavverkning (Nitare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ekticka (NT, T), tallticka (NT, T), ullticka (NT, T), blodticka (S, T), blomskägglav (S, T), bronshjon (S, T), granbarkgnagare (S, T), grön sköldmossa (S, T, §8), grönpyrola (S, T), trådticka (S, T), vedticka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