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samrådsanmälan S 3918-2023 i Västerviks kommun</w:t>
      </w:r>
    </w:p>
    <w:p>
      <w:r>
        <w:t>Denna tillsynsbegäran behandlar höga naturvärden i samrådsanmälan S 3918-2023 i Västerviks kommun som inkom 2023-11-03 och omfattar 1,8 ha.</w:t>
      </w:r>
    </w:p>
    <w:p>
      <w:pPr>
        <w:pStyle w:val="Caption"/>
      </w:pPr>
      <w:r>
        <w:drawing>
          <wp:inline xmlns:a="http://schemas.openxmlformats.org/drawingml/2006/main" xmlns:pic="http://schemas.openxmlformats.org/drawingml/2006/picture">
            <wp:extent cx="5486400" cy="5503421"/>
            <wp:docPr id="1" name="Picture 1"/>
            <wp:cNvGraphicFramePr>
              <a:graphicFrameLocks noChangeAspect="1"/>
            </wp:cNvGraphicFramePr>
            <a:graphic>
              <a:graphicData uri="http://schemas.openxmlformats.org/drawingml/2006/picture">
                <pic:pic>
                  <pic:nvPicPr>
                    <pic:cNvPr id="0" name="S 3918-2023 karta.png"/>
                    <pic:cNvPicPr/>
                  </pic:nvPicPr>
                  <pic:blipFill>
                    <a:blip r:embed="rId16"/>
                    <a:stretch>
                      <a:fillRect/>
                    </a:stretch>
                  </pic:blipFill>
                  <pic:spPr>
                    <a:xfrm>
                      <a:off x="0" y="0"/>
                      <a:ext cx="5486400" cy="5503421"/>
                    </a:xfrm>
                    <a:prstGeom prst="rect"/>
                  </pic:spPr>
                </pic:pic>
              </a:graphicData>
            </a:graphic>
          </wp:inline>
        </w:drawing>
      </w:r>
    </w:p>
    <w:p>
      <w:pPr>
        <w:pStyle w:val="Caption"/>
        <w:spacing w:after="240"/>
      </w:pPr>
      <w:r>
        <w:t>Figur 1. Fyndplatser för naturvårdsarter i och inom 6 meter från samrådsanmälan. Markörer utan svart kant är placerade på fyndplatsen. Markörer med svart kant är placerade vid sidan av fyndplatsen och har ett svart streck som visar fyndplatsens exakta position. Kartans mittpunktskoordinat är N 6403760, E 593629 i SWEREF 99 TM.</w:t>
      </w:r>
    </w:p>
    <w:p>
      <w:r>
        <w:t>I och inom 6 meter från samrådsanmälan finns fynd av 6 naturvårdsarter, varav 4 är rödlistade, 4 är typiska (T) och 2 är signalarter (S): ekticka (NT, T), gammelekslav (NT, T), oxtungssvamp (NT), tallticka (NT, T), grå skärelav (S) och svart trolldruva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Ekticka (NT)</w:t>
      </w:r>
      <w:r>
        <w:t xml:space="preserve"> påträffas i löv- och blandskog och hagmark där den växer på levande oftast äldre eller senvuxna ekar. Minskningstakten för den svenska populationen har uppgått till 15 % under de senaste 50 åren och bedöms vara nära gränsvärdet för Sårbar (VU). Ekticka är typisk art för </w:t>
      </w:r>
      <w:r>
        <w:rPr>
          <w:i/>
        </w:rPr>
        <w:t xml:space="preserve">9020 Nordlig ädellövskog </w:t>
      </w:r>
      <w:r>
        <w:t>(SLU Artdatabanken, 2025).</w:t>
      </w:r>
    </w:p>
    <w:p>
      <w:r>
        <w:rPr>
          <w:b/>
        </w:rPr>
        <w:t xml:space="preserve">Gammelekslav (NT) </w:t>
      </w:r>
      <w:r>
        <w:t>är en mycket exklusiv lav som</w:t>
      </w:r>
      <w:r>
        <w:rPr>
          <w:b/>
        </w:rPr>
        <w:t xml:space="preserve"> </w:t>
      </w:r>
      <w:r>
        <w:t xml:space="preserve">växer på grova ekar i halvöppet läge med hög luftfuktighet. Lämpliga ekar nyskapas i mycket begränsad omfattning. Arten är placerad högst upp i Skogsstyrelsens värdepyramid för bedömning av skog med höga naturvärden. Håll öppet kring ekjättarnas ömtåliga och konkurrenskänsliga kronor. Särskilt rika lokaler med gammelekslav måste skyddas. Gammelekslav är typisk art för </w:t>
      </w:r>
      <w:r>
        <w:rPr>
          <w:i/>
        </w:rPr>
        <w:t xml:space="preserve">9160 Näringsrik ekskog </w:t>
      </w:r>
      <w:r>
        <w:t xml:space="preserve">och </w:t>
      </w:r>
      <w:r>
        <w:rPr>
          <w:i/>
        </w:rPr>
        <w:t>9070 Trädklädd betesmark</w:t>
      </w:r>
      <w:r>
        <w:t xml:space="preserve"> (SLU Artdatabanken, 2024; Nitare &amp; Skogsstyrelsen, 2019).</w:t>
      </w:r>
    </w:p>
    <w:p>
      <w:r>
        <w:rPr>
          <w:b/>
        </w:rPr>
        <w:t>Oxtungssvamp (NT)</w:t>
      </w:r>
      <w:r>
        <w:t xml:space="preserve"> växer nästan uteslutande på flerhundraåriga jätteekar i kulturlandskapet, till exempel i ekhagar och vid vägkanter, men kan även leva kvar på dess träd i mer slutna bestånd. Arten hotas av avverkning av värdträd och passande värdträd runt fyndplatserna samt av att olikåldriga bestånd med grov ek i hagmarks- och skogsmiljö avverkas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Grå skärelav</w:t>
      </w:r>
      <w:r>
        <w:t xml:space="preserve"> växer på barken av mycket gamla och grova jätteekar i halvöppet eller öppet läge. Sverige har ett stort internationellt ansvar att bevara dessa grova ekjättar och det är viktigt att hålla öppet kring deras konkurrenskänsliga kronor. Arten följs ofta av ett stort antal rödlistade lavar varför särskilt rika lokaler med grå skärelav bör skyddas. Grå skärelav är typisk art för </w:t>
      </w:r>
      <w:r>
        <w:rPr>
          <w:i/>
        </w:rPr>
        <w:t>9070 Trädklädd betesmark</w:t>
      </w:r>
      <w:r>
        <w:t xml:space="preserve"> och </w:t>
      </w:r>
      <w:r>
        <w:rPr>
          <w:i/>
        </w:rPr>
        <w:t>6530 Lövängar</w:t>
      </w:r>
      <w:r>
        <w:t xml:space="preserve"> (SLU Artdatabanken, 2024;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