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53129-2025 i Västerviks kommun</w:t>
      </w:r>
    </w:p>
    <w:p>
      <w:r>
        <w:t>Detta dokument behandlar höga naturvärden i avverkningsanmälan A 53129-2025 i Västerviks kommun. Denna avverkningsanmälan inkom 2025-10-28 11:04:06 och omfattar 4,1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2 naturvårdsarter hittats: spillkråka (NT, §4) och skogsknipprot (S, §8).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780832"/>
            <wp:docPr id="1" name="Picture 1"/>
            <wp:cNvGraphicFramePr>
              <a:graphicFrameLocks noChangeAspect="1"/>
            </wp:cNvGraphicFramePr>
            <a:graphic>
              <a:graphicData uri="http://schemas.openxmlformats.org/drawingml/2006/picture">
                <pic:pic>
                  <pic:nvPicPr>
                    <pic:cNvPr id="0" name="A 53129-2025 karta.png"/>
                    <pic:cNvPicPr/>
                  </pic:nvPicPr>
                  <pic:blipFill>
                    <a:blip r:embed="rId16"/>
                    <a:stretch>
                      <a:fillRect/>
                    </a:stretch>
                  </pic:blipFill>
                  <pic:spPr>
                    <a:xfrm>
                      <a:off x="0" y="0"/>
                      <a:ext cx="5486400" cy="378083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6406992, E 577724 i SWEREF 99 TM.</w:t>
      </w:r>
    </w:p>
    <w:p>
      <w:pPr>
        <w:pStyle w:val="Heading1"/>
      </w:pPr>
      <w:r>
        <w:t>Fridlysta arter</w:t>
      </w:r>
    </w:p>
    <w:p>
      <w:r>
        <w:t>Följande fridlysta arter har sina livsmiljöer och växtplatser i den avverkningsanmälda skogen: spillkråka (NT, §4) och skogsknipprot (S, §8).</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Skogsknipprot (§8)</w:t>
      </w:r>
      <w:r>
        <w:t xml:space="preserve"> är fridlyst enligt 8§ artskyddsförordningen och typisk art för </w:t>
      </w:r>
      <w:r>
        <w:rPr>
          <w:i/>
        </w:rPr>
        <w:t>9050 Näringsrik granskog</w:t>
      </w:r>
      <w:r>
        <w:t xml:space="preserve"> (SLU Artdatabanken, 2025).</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och bedöms vara nära gränsvärdet för Sårbar (VU) (A2bc). Spillkråka är en nyckelart i skogliga miljöer vars övergivna bohål utnyttjas av flera andra hålhäckande fågelarter och fladdermöss. Den behöver grova träd, främst tall, asp och bok som boträd. Skogsbruk med korta omloppstider och täta, homogena ungskogar utgör det största hotet. Spillkråka är typisk art för </w:t>
      </w:r>
      <w:r>
        <w:rPr>
          <w:i/>
        </w:rPr>
        <w:t xml:space="preserve">9010 Taiga </w:t>
      </w:r>
      <w:r>
        <w:t>och</w:t>
      </w:r>
      <w:r>
        <w:rPr>
          <w:i/>
        </w:rPr>
        <w:t xml:space="preserve"> 9740 Skogsbevuxen myr </w:t>
      </w:r>
      <w:r>
        <w:t>(SLU Artdatabanken, 2025;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Spillkråka – ekologi samt krav på livsmiljön</w:t>
      </w:r>
    </w:p>
    <w:p>
      <w:r>
        <w:t xml:space="preserve">Spillkråka (NT) är rödlistad som nära hotad, fridlyst enligt §4 Artskyddsförordningen, typisk art för </w:t>
      </w:r>
      <w:r>
        <w:rPr>
          <w:i/>
        </w:rPr>
        <w:t xml:space="preserve">9010 Taiga </w:t>
      </w:r>
      <w:r>
        <w:t>och</w:t>
      </w:r>
      <w:r>
        <w:rPr>
          <w:i/>
        </w:rPr>
        <w:t xml:space="preserve"> 9740 Skogsbevuxen myr</w:t>
      </w:r>
      <w:r>
        <w:t xml:space="preserve"> och ingår i bilaga 1 i EU:s fågeldirektiv. Spillkråka lever i både barr- och blandskog liksom i ren lövskog. De tätaste populationerna tenderar att finnas i äldre, variationsrik blandskog med gott om död ved och gamla träd. Spillkråka är en nyckelart i skogliga miljöer vars övergivna bohål utnyttjas av flera andra hålhäckande fågelarter och fladdermöss (SLU Artdatabanken, 2023; Skogsstyrelsen 2016).</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2023.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2026-03-16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