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2345-2024 i Västerviks kommun</w:t>
      </w:r>
    </w:p>
    <w:p>
      <w:r>
        <w:t>Detta klagomål behandlar höga naturvärden i samrådsanmälan S 2345-2024 i Västerviks kommun som inkom 2024-06-24 och omfattar 3,0 ha.</w:t>
      </w:r>
    </w:p>
    <w:p>
      <w:pPr>
        <w:pStyle w:val="Caption"/>
      </w:pPr>
      <w:r>
        <w:drawing>
          <wp:inline xmlns:a="http://schemas.openxmlformats.org/drawingml/2006/main" xmlns:pic="http://schemas.openxmlformats.org/drawingml/2006/picture">
            <wp:extent cx="5357620" cy="5724000"/>
            <wp:docPr id="1" name="Picture 1"/>
            <wp:cNvGraphicFramePr>
              <a:graphicFrameLocks noChangeAspect="1"/>
            </wp:cNvGraphicFramePr>
            <a:graphic>
              <a:graphicData uri="http://schemas.openxmlformats.org/drawingml/2006/picture">
                <pic:pic>
                  <pic:nvPicPr>
                    <pic:cNvPr id="0" name="S 2345-2024 karta.png"/>
                    <pic:cNvPicPr/>
                  </pic:nvPicPr>
                  <pic:blipFill>
                    <a:blip r:embed="rId16"/>
                    <a:stretch>
                      <a:fillRect/>
                    </a:stretch>
                  </pic:blipFill>
                  <pic:spPr>
                    <a:xfrm>
                      <a:off x="0" y="0"/>
                      <a:ext cx="535762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6406585, E 593667 i SWEREF 99 TM.</w:t>
      </w:r>
    </w:p>
    <w:p>
      <w:r>
        <w:t>I samrådsanmälan finns fynd av 2 naturvårdsarter, varav 2 är fridlysta: grönsiska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