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1878-2025 i Västerviks kommun</w:t>
      </w:r>
    </w:p>
    <w:p>
      <w:r>
        <w:t>Denna tillsynsbegäran behandlar höga naturvärden i samrådsanmälan S 1878-2025 i Västerviks kommun som inkom 2025-06-16 och omfattar 15,4 ha.</w:t>
      </w:r>
    </w:p>
    <w:p>
      <w:pPr>
        <w:pStyle w:val="Caption"/>
      </w:pPr>
      <w:r>
        <w:drawing>
          <wp:inline xmlns:a="http://schemas.openxmlformats.org/drawingml/2006/main" xmlns:pic="http://schemas.openxmlformats.org/drawingml/2006/picture">
            <wp:extent cx="5307406" cy="5724000"/>
            <wp:docPr id="1" name="Picture 1"/>
            <wp:cNvGraphicFramePr>
              <a:graphicFrameLocks noChangeAspect="1"/>
            </wp:cNvGraphicFramePr>
            <a:graphic>
              <a:graphicData uri="http://schemas.openxmlformats.org/drawingml/2006/picture">
                <pic:pic>
                  <pic:nvPicPr>
                    <pic:cNvPr id="0" name="S 1878-2025 karta.png"/>
                    <pic:cNvPicPr/>
                  </pic:nvPicPr>
                  <pic:blipFill>
                    <a:blip r:embed="rId16"/>
                    <a:stretch>
                      <a:fillRect/>
                    </a:stretch>
                  </pic:blipFill>
                  <pic:spPr>
                    <a:xfrm>
                      <a:off x="0" y="0"/>
                      <a:ext cx="5307406"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6403982, E 598065 i SWEREF 99 TM.</w:t>
      </w:r>
    </w:p>
    <w:p>
      <w:r>
        <w:t>I och inom 25 meter från samrådsanmälan finns fynd av 66 naturvårdsarter, varav 33 är rödlistade, 33 är fridlysta, 19 är typiska (T) och 15 är signalarter (S): ask (EN), havstrut (EN, §4), klätt (EN), skogsalm (EN), grönfink (VU, §4), hasselsnok (VU, §4a), igelkott (VU), läderbagge (VU, §4a), stare (VU, §4), tornseglare (VU, §4), blekticka (NT, T), ekticka (NT, T), gammelekslav (NT, T), gul dropplav (NT), hjälmbrosklav (NT), korallticka (NT), kricka (NT, §4), ladusvala (NT, §4), mindre hackspett (NT, T, §4), nordfladdermus (NT, §4a), oxtungssvamp (NT), parknål (NT), reliktbock (NT, T), rosa skärelav (NT, T), rörsångare (NT, §4), silltrut (NT, §4), skeppsvarvsfluga (NT), skuggorangelav (NT), sparvuggla (NT, §4), strandskata (NT, §4), tallticka (NT, T), vårärt (NT, T), älg (NT), barkticka (S, T), blanksvart trämyra (S), blompraktbagge (S), blåmossa (S, T), brun nållav (S), ekoxe (S, §6), ekskinn (S, T), fällmossa (S, T), gulpudrad spiklav (S, T), lundvårlök (S, T), lönnlav (S), mindre märgborre (S, T), murgröna (S, T), myskbock (S), rostfläck (S, T), blåsippa (T, §9), spillkråka (T, §4), dvärgpipistrell (§4a), gröngöling (§4), grönsiska (§4), halsbandsflugsnappare (§4), havsörn (§4), kråka (§4), kungsfågel (§4), näktergal (§4), stjärtand x gräsand (§4), trollpipistrell (§4a), trädlärka (§4), huggorm (§6), kopparödla (§6), mindre vattensalamander (§6), vanlig padda (§6)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 xml:space="preserve">Hjälmbrosklav (NT) </w:t>
      </w:r>
      <w:r>
        <w:t>växer huvudsakligen på gamla ekar, men även på andra ädellövträd. De flesta nutida lokalerna är öppna och därmed solexponerade parker, hagmarker och vägkanter med gamla träd. Arten påträffas ofta tillsammans med andra naturvårdsarter som matt pricklav (NT), skuggorangelav (NT) och grå skärelav. Hjälmbrosklaven känns lättast igen på de uppblåsta, hjälmlika soralen i spetsen eller nedanför spetsen av de runda till trubbiga loberna. Minskningstakten för den svenska populationen bedöms vara nära gränsvärdet för Sårbar (VU). Avverkning av gamla lövträd bör undvikas (SLU Artdatabanken, 2025).</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 xml:space="preserve">Skeppsvarvsfluga (NT) </w:t>
      </w:r>
      <w:r>
        <w:t>är en skalbagge vars larvutveckling sker i solexponerad hård ved av stående döda eller levande lövträd, i norra Europa endast ek, i Central- och Sydeuropa även bok och kastanj. Fullbildade skalbaggar påträffas under högsommaren, ofta flygande runt lämpliga värdträd varma eftermiddagar. Arten påverkas negativt av brist på död ved och en minskning av populationen pågår eller förväntas ske. Minskningen avser kvalitén på artens habitat (SLU Artdatabanken, 2025).</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Lundvårlök</w:t>
      </w:r>
      <w:r>
        <w:t xml:space="preserve"> visar på skyddsvärda ädellövskogar och lundar, men också på örtrika alkärr och andra lövskogsmiljöer med höga naturvärden. Många av dagens förekomster har en tydlig reliktkaraktär och är troligen mycket gamla kvarlevor från en tid då ädellövskogen hade större utbredning underden postglaciala värmetiden (stenålder-bronsåler). Lundvårlök är typisk art för </w:t>
      </w:r>
      <w:r>
        <w:rPr>
          <w:i/>
        </w:rPr>
        <w:t xml:space="preserve">9750 Svämlövskog </w:t>
      </w:r>
      <w:r>
        <w:t xml:space="preserve">och </w:t>
      </w:r>
      <w:r>
        <w:rPr>
          <w:i/>
        </w:rPr>
        <w:t xml:space="preserve">9760 Svämädellövskog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blekticka (NT, T), ekticka (NT, T), gammelekslav (NT, T), mindre hackspett (NT, T, §4), reliktbock (NT, T), rosa skärelav (NT, T), tallticka (NT, T), vårärt (NT, T), barkticka (S, T), blåmossa (S, T), ekskinn (S, T), fällmossa (S, T), gulpudrad spiklav (S, T), lundvårlök (S, T), mindre märgborre (S, T), murgröna (S, T), rostfläck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