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1387-2026 i Västerviks kommun</w:t>
      </w:r>
    </w:p>
    <w:p>
      <w:r>
        <w:t>Detta klagomål behandlar höga naturvärden i samrådsanmälan S 1387-2026 i Västerviks kommun som inkom 2026-05-12 och omfattar 36,7 ha.</w:t>
      </w:r>
    </w:p>
    <w:p>
      <w:pPr>
        <w:pStyle w:val="Caption"/>
      </w:pPr>
      <w:r>
        <w:drawing>
          <wp:inline xmlns:a="http://schemas.openxmlformats.org/drawingml/2006/main" xmlns:pic="http://schemas.openxmlformats.org/drawingml/2006/picture">
            <wp:extent cx="4701155" cy="5724000"/>
            <wp:docPr id="1" name="Picture 1"/>
            <wp:cNvGraphicFramePr>
              <a:graphicFrameLocks noChangeAspect="1"/>
            </wp:cNvGraphicFramePr>
            <a:graphic>
              <a:graphicData uri="http://schemas.openxmlformats.org/drawingml/2006/picture">
                <pic:pic>
                  <pic:nvPicPr>
                    <pic:cNvPr id="0" name="S 1387-2026 karta.png"/>
                    <pic:cNvPicPr/>
                  </pic:nvPicPr>
                  <pic:blipFill>
                    <a:blip r:embed="rId16"/>
                    <a:stretch>
                      <a:fillRect/>
                    </a:stretch>
                  </pic:blipFill>
                  <pic:spPr>
                    <a:xfrm>
                      <a:off x="0" y="0"/>
                      <a:ext cx="4701155" cy="5724000"/>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6410062, E 569973 i SWEREF 99 TM.</w:t>
      </w:r>
    </w:p>
    <w:p>
      <w:r>
        <w:t>I och inom 24 meter från samrådsanmälan finns fynd av 8 naturvårdsarter, varav 6 är rödlistade, 4 är fridlysta, 4 är typiska (T) och 2 är signalarter (S): mosippa (EN, T, §8), knärot (VU, T, §8), sorgfibbla (VU), jungfrulin (NT), sparvuggla (NT, §4), svedjenäva (NT, T), dvärghäxört (S, T) och purpurknipprot (S,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18 fyndplatser för knärot registrerade på Artportalen. Figur 2 visar gränserna för buffertzoner på 50 m, som behöver lämnas kring fyndplatserna för att knärotslokalerna inte ska försvinna vid en avverkning. Av det samrådsanmälda området överlappar 1.87 ha med buffertzonerna och får av detta skäl inte avverkas.</w:t>
      </w:r>
    </w:p>
    <w:p>
      <w:pPr>
        <w:pStyle w:val="Caption"/>
      </w:pPr>
      <w:r>
        <w:drawing>
          <wp:inline xmlns:a="http://schemas.openxmlformats.org/drawingml/2006/main" xmlns:pic="http://schemas.openxmlformats.org/drawingml/2006/picture">
            <wp:extent cx="5486400" cy="9055828"/>
            <wp:docPr id="2" name="Picture 2"/>
            <wp:cNvGraphicFramePr>
              <a:graphicFrameLocks noChangeAspect="1"/>
            </wp:cNvGraphicFramePr>
            <a:graphic>
              <a:graphicData uri="http://schemas.openxmlformats.org/drawingml/2006/picture">
                <pic:pic>
                  <pic:nvPicPr>
                    <pic:cNvPr id="0" name="S 1387-2026 karta knärot.png"/>
                    <pic:cNvPicPr/>
                  </pic:nvPicPr>
                  <pic:blipFill>
                    <a:blip r:embed="rId17"/>
                    <a:stretch>
                      <a:fillRect/>
                    </a:stretch>
                  </pic:blipFill>
                  <pic:spPr>
                    <a:xfrm>
                      <a:off x="0" y="0"/>
                      <a:ext cx="5486400" cy="9055828"/>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6410062, E 569973 i SWEREF 99 TM.</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Svedjenäva (NT)</w:t>
      </w:r>
      <w:r>
        <w:t xml:space="preserve"> växer på brandplatser, vid kolbottnar och på annan vegetationsfri mark som nyligen omrörts och blivit uppvärmd av solen. Kolningen och svedjebrukets upphörande, liksom minskad areal av skogsmark som utsätts för skogsbrand eller hyggesbränning har medfört att antalet lämpliga lokaler starkt minskat. Svedjenäva är typisk art för </w:t>
      </w:r>
      <w:r>
        <w:rPr>
          <w:i/>
        </w:rPr>
        <w:t xml:space="preserve">9010 Taiga </w:t>
      </w:r>
      <w:r>
        <w:t>(SLU Artdatabanken, 2025).</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