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12662-2022 i Västerviks kommun</w:t>
      </w:r>
    </w:p>
    <w:p>
      <w:r>
        <w:t>Detta dokument behandlar höga naturvärden i avverkningsanmälan A 12662-2022 i Västerviks kommun. Denna avverkningsanmälan inkom 2022-03-21 00:00:00 och omfattar 2,1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blåmossa (S).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059632"/>
            <wp:docPr id="1" name="Picture 1"/>
            <wp:cNvGraphicFramePr>
              <a:graphicFrameLocks noChangeAspect="1"/>
            </wp:cNvGraphicFramePr>
            <a:graphic>
              <a:graphicData uri="http://schemas.openxmlformats.org/drawingml/2006/picture">
                <pic:pic>
                  <pic:nvPicPr>
                    <pic:cNvPr id="0" name="A 12662-2022 karta.png"/>
                    <pic:cNvPicPr/>
                  </pic:nvPicPr>
                  <pic:blipFill>
                    <a:blip r:embed="rId16"/>
                    <a:stretch>
                      <a:fillRect/>
                    </a:stretch>
                  </pic:blipFill>
                  <pic:spPr>
                    <a:xfrm>
                      <a:off x="0" y="0"/>
                      <a:ext cx="5486400" cy="4059632"/>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6380652, E 583920 i SWEREF 99 TM.</w:t>
      </w:r>
    </w:p>
    <w:p>
      <w:r>
        <w:rPr>
          <w:b/>
        </w:rPr>
        <w:t xml:space="preserve">Blåmossa </w:t>
      </w:r>
      <w:r>
        <w:t xml:space="preserve">har karaktäristiska kuddar som är lätta att se på långt håll. Mycket stora kuddar, större än 0,5 meter i höjd, indikerar höga naturvärden där skogen har en lång period av orördhet oh stabila miljöförhållanden. Mossan växer under gynnsamma omständigheter cirka 1 centimeter per år och stora kuddar kan därför indirekt visa att lokalen varit lämplig under en lång tid. Blåmossa är typisk art för </w:t>
      </w:r>
      <w:r>
        <w:rPr>
          <w:i/>
        </w:rPr>
        <w:t>9010 Taiga, 9080 Lövsumpskog</w:t>
      </w:r>
      <w:r>
        <w:t xml:space="preserve"> och </w:t>
      </w:r>
      <w:r>
        <w:rPr>
          <w:i/>
        </w:rPr>
        <w:t>9750 Svämlövskog</w:t>
      </w:r>
      <w:r>
        <w:t xml:space="preserve"> (SLU Artdatabanken, 2025;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2026-05-17</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