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53129-2025 i Västerviks kommun</w:t>
      </w:r>
    </w:p>
    <w:p>
      <w:r>
        <w:t>Detta dokument behandlar höga naturvärden i avverkningsanmälan A 53129-2025 i Västerviks kommun. Denna avverkningsanmälan inkom 2025-10-28 11:04:06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skogsknipprot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0832"/>
            <wp:docPr id="1" name="Picture 1"/>
            <wp:cNvGraphicFramePr>
              <a:graphicFrameLocks noChangeAspect="1"/>
            </wp:cNvGraphicFramePr>
            <a:graphic>
              <a:graphicData uri="http://schemas.openxmlformats.org/drawingml/2006/picture">
                <pic:pic>
                  <pic:nvPicPr>
                    <pic:cNvPr id="0" name="A 53129-2025 karta.png"/>
                    <pic:cNvPicPr/>
                  </pic:nvPicPr>
                  <pic:blipFill>
                    <a:blip r:embed="rId16"/>
                    <a:stretch>
                      <a:fillRect/>
                    </a:stretch>
                  </pic:blipFill>
                  <pic:spPr>
                    <a:xfrm>
                      <a:off x="0" y="0"/>
                      <a:ext cx="5486400" cy="37808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6406992, E 577724 i SWEREF 99 TM.</w:t>
      </w:r>
    </w:p>
    <w:p>
      <w:pPr>
        <w:pStyle w:val="Heading1"/>
      </w:pPr>
      <w:r>
        <w:t>Fridlysta arter</w:t>
      </w:r>
    </w:p>
    <w:p>
      <w:r>
        <w:t>Följande fridlysta arter har sina livsmiljöer och växtplatser i den avverkningsanmälda skogen: spillkråka (NT, §4) och skogsknipprot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Skogsknipprot (§8)</w:t>
      </w:r>
      <w:r>
        <w:t xml:space="preserve"> är fridlyst enligt 8§ artskyddsförordningen och typisk art för </w:t>
      </w:r>
      <w:r>
        <w:rPr>
          <w:i/>
        </w:rPr>
        <w:t>9050 Näringsrik granskog</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