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42900-2025 i Västerviks kommun</w:t>
      </w:r>
    </w:p>
    <w:p>
      <w:r>
        <w:t>Detta klagomål behandlar höga naturvärden i avverkningsanmälan A 42900-2025 i Västerviks kommun som inkom 2025-09-08 och omfattar 2,6 ha.</w:t>
      </w:r>
    </w:p>
    <w:p>
      <w:pPr>
        <w:pStyle w:val="Caption"/>
      </w:pPr>
      <w:r>
        <w:drawing>
          <wp:inline xmlns:a="http://schemas.openxmlformats.org/drawingml/2006/main" xmlns:pic="http://schemas.openxmlformats.org/drawingml/2006/picture">
            <wp:extent cx="5486400" cy="5488285"/>
            <wp:docPr id="1" name="Picture 1"/>
            <wp:cNvGraphicFramePr>
              <a:graphicFrameLocks noChangeAspect="1"/>
            </wp:cNvGraphicFramePr>
            <a:graphic>
              <a:graphicData uri="http://schemas.openxmlformats.org/drawingml/2006/picture">
                <pic:pic>
                  <pic:nvPicPr>
                    <pic:cNvPr id="0" name="A 42900-2025 karta.png"/>
                    <pic:cNvPicPr/>
                  </pic:nvPicPr>
                  <pic:blipFill>
                    <a:blip r:embed="rId16"/>
                    <a:stretch>
                      <a:fillRect/>
                    </a:stretch>
                  </pic:blipFill>
                  <pic:spPr>
                    <a:xfrm>
                      <a:off x="0" y="0"/>
                      <a:ext cx="5486400" cy="548828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6396124, E 577853 i SWEREF 99 TM.</w:t>
      </w:r>
    </w:p>
    <w:p>
      <w:r>
        <w:t>I avverkningsanmälan finns fynd av 8 naturvårdsarter, varav 2 är rödlistade, 3 är fridlysta, 4 är typiska (T) och 3 är signalarter (S): ullticka (NT, T), vaddporing (NT), barkticka (S, T), blomkålssvamp (S), blomskägglav (S, T), spillkråka (T, §4), havsörn (§4)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Barkticka</w:t>
      </w:r>
      <w:r>
        <w:t xml:space="preserve"> är en vednedbrytare som växer på barken av döda lövträd, främst asp, men någon gång även på björk eller andra trädslag. På sina växtplatser förekommer den gärna tillsammans med flera ovanliga och rödlistade arter, till exempel olika insekter. Barkticka är typisk art för </w:t>
      </w:r>
      <w:r>
        <w:rPr>
          <w:i/>
        </w:rPr>
        <w:t xml:space="preserve">9010 Taiga </w:t>
      </w:r>
      <w:r>
        <w:t xml:space="preserve">och </w:t>
      </w:r>
      <w:r>
        <w:rPr>
          <w:i/>
        </w:rPr>
        <w:t>9030 Landhöjningsskog</w:t>
      </w:r>
      <w:r>
        <w:t xml:space="preserve"> (SLU Artdatabanken, 2025; Nitare &amp; Skogsstyrelsen, 2019).</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Blomskägglav</w:t>
      </w:r>
      <w:r>
        <w:t xml:space="preserve"> är en ljusälskande och fuktighetskrävande art som framför allt växer på ek högt upp i trädkronorna, där den sitter på ovansidan av klena grenar. Blomskägglav är en bra signalart, speciellt för artfattiga ekskogar med få andra signalarter och ekar i skogsbryn med rika bestånd av olika skägglavar bör regelmässigt sparas. Blomskägglav är typisk art för </w:t>
      </w:r>
      <w:r>
        <w:rPr>
          <w:i/>
        </w:rPr>
        <w:t>9160 Näringsrik ekskog</w:t>
      </w:r>
      <w:r>
        <w:t xml:space="preserve"> och </w:t>
      </w:r>
      <w:r>
        <w:rPr>
          <w:i/>
        </w:rPr>
        <w:t>9190 Näringsfattig ekskog</w:t>
      </w:r>
      <w:r>
        <w:t xml:space="preserve"> (SLU Artdatabanken, 2024;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