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1519-2023 i Västerviks kommun</w:t>
      </w:r>
    </w:p>
    <w:p>
      <w:r>
        <w:t>Denna tillsynsbegäran behandlar höga naturvärden i samrådsanmälan S 1519-2023 i Västerviks kommun som inkom 2023-05-09 och omfattar 12,1 ha.</w:t>
      </w:r>
    </w:p>
    <w:p>
      <w:pPr>
        <w:pStyle w:val="Caption"/>
      </w:pPr>
      <w:r>
        <w:drawing>
          <wp:inline xmlns:a="http://schemas.openxmlformats.org/drawingml/2006/main" xmlns:pic="http://schemas.openxmlformats.org/drawingml/2006/picture">
            <wp:extent cx="4103184" cy="5724000"/>
            <wp:docPr id="1" name="Picture 1"/>
            <wp:cNvGraphicFramePr>
              <a:graphicFrameLocks noChangeAspect="1"/>
            </wp:cNvGraphicFramePr>
            <a:graphic>
              <a:graphicData uri="http://schemas.openxmlformats.org/drawingml/2006/picture">
                <pic:pic>
                  <pic:nvPicPr>
                    <pic:cNvPr id="0" name="S 1519-2023 karta.png"/>
                    <pic:cNvPicPr/>
                  </pic:nvPicPr>
                  <pic:blipFill>
                    <a:blip r:embed="rId16"/>
                    <a:stretch>
                      <a:fillRect/>
                    </a:stretch>
                  </pic:blipFill>
                  <pic:spPr>
                    <a:xfrm>
                      <a:off x="0" y="0"/>
                      <a:ext cx="410318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6418171, E 583366 i SWEREF 99 TM.</w:t>
      </w:r>
    </w:p>
    <w:p>
      <w:r>
        <w:t>I och inom 25 meter från samrådsanmälan finns fynd av 8 naturvårdsarter, varav 5 är rödlistade, 3 är fridlysta, 3 är typiska (T) och 2 är signalarter (S): ask (EN), igelkott (VU), apollofjäril (NT, §4a), reliktbock (NT, T), tallticka (NT, T), blompraktbagge (S), ekoxe (S, §6)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