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39298-2024 i Västerviks kommun</w:t>
      </w:r>
    </w:p>
    <w:p>
      <w:r>
        <w:t>Detta dokument behandlar höga naturvärden i avverkningsanmälan A 39298-2024 i Västerviks kommun. Denna avverkningsanmälan inkom 2024-09-16 00:00:00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11 naturvårdsarter hittats: knärot (VU, §8), garnlav (NT), svart taggsvamp (NT), talltita (NT, §4), dropptaggsvamp (S), grön sköldmossa (S, §8), grönpyrola (S), rödgul trumpetsvamp (S), stubbspretmossa (S), kungsfågel (§4) och sparvuggla (§4).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87030"/>
            <wp:docPr id="1" name="Picture 1"/>
            <wp:cNvGraphicFramePr>
              <a:graphicFrameLocks noChangeAspect="1"/>
            </wp:cNvGraphicFramePr>
            <a:graphic>
              <a:graphicData uri="http://schemas.openxmlformats.org/drawingml/2006/picture">
                <pic:pic>
                  <pic:nvPicPr>
                    <pic:cNvPr id="0" name="A 39298-2024 karta.png"/>
                    <pic:cNvPicPr/>
                  </pic:nvPicPr>
                  <pic:blipFill>
                    <a:blip r:embed="rId16"/>
                    <a:stretch>
                      <a:fillRect/>
                    </a:stretch>
                  </pic:blipFill>
                  <pic:spPr>
                    <a:xfrm>
                      <a:off x="0" y="0"/>
                      <a:ext cx="5486400" cy="40870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6434105, E 567129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Stubbspretmossa</w:t>
      </w:r>
      <w:r>
        <w:t xml:space="preserve"> växer på ved i rika löv- och barrskogar med relativt hög luftfuktighet och indikerar fuktiga skogsmiljöer med gott om murken ved och ofta höga naturvärden (SLU Artdatabanken, 2024).</w:t>
      </w:r>
    </w:p>
    <w:p>
      <w:r>
        <w:rPr>
          <w:b/>
        </w:rPr>
        <w:t xml:space="preserve">Svart taggsvamp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p>
      <w:pPr>
        <w:pStyle w:val="Heading1"/>
      </w:pPr>
      <w:r>
        <w:t>Fridlysta arter</w:t>
      </w:r>
    </w:p>
    <w:p>
      <w:r>
        <w:t>Följande fridlysta arter har sina livsmiljöer och växtplatser i den avverkningsanmälda skogen: knärot (VU, §8), talltita (NT, §4), grön sköldmossa (S, §8), kungsfågel (§4) och sparvuggla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 sköldmossa (§8)</w:t>
      </w:r>
      <w:r>
        <w:t xml:space="preserve">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12 fyndplatser för knärot registrerade på Artportalen. Figur 2 visar gränserna för buffertzoner på 50 m, som behöver lämnas kring fyndplatserna för att knärotslokalerna inte ska försvinna vid en avverkning. Av det avverkningsanmälda området överlappar 0.98 ha med buffertzonerna och får av detta skäl inte avverkas.</w:t>
      </w:r>
    </w:p>
    <w:p>
      <w:pPr>
        <w:pStyle w:val="Caption"/>
      </w:pPr>
      <w:r>
        <w:drawing>
          <wp:inline xmlns:a="http://schemas.openxmlformats.org/drawingml/2006/main" xmlns:pic="http://schemas.openxmlformats.org/drawingml/2006/picture">
            <wp:extent cx="5486400" cy="4891913"/>
            <wp:docPr id="2" name="Picture 2"/>
            <wp:cNvGraphicFramePr>
              <a:graphicFrameLocks noChangeAspect="1"/>
            </wp:cNvGraphicFramePr>
            <a:graphic>
              <a:graphicData uri="http://schemas.openxmlformats.org/drawingml/2006/picture">
                <pic:pic>
                  <pic:nvPicPr>
                    <pic:cNvPr id="0" name="A 39298-2024 karta knärot.png"/>
                    <pic:cNvPicPr/>
                  </pic:nvPicPr>
                  <pic:blipFill>
                    <a:blip r:embed="rId17"/>
                    <a:stretch>
                      <a:fillRect/>
                    </a:stretch>
                  </pic:blipFill>
                  <pic:spPr>
                    <a:xfrm>
                      <a:off x="0" y="0"/>
                      <a:ext cx="5486400" cy="489191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6434105, E 567129 i SWEREF 99 TM.</w:t>
      </w:r>
    </w:p>
    <w:p>
      <w:pPr>
        <w:pStyle w:val="Caption"/>
      </w:pPr>
    </w:p>
    <w:p>
      <w:r>
        <w:rPr>
          <w:b/>
        </w:rPr>
        <w:t>Sparvuggla (§4)</w:t>
      </w:r>
      <w:r>
        <w:t>,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Sparvuggla – ekologi samt krav på livsmiljön</w:t>
      </w:r>
    </w:p>
    <w:p>
      <w:r>
        <w:t>Sparvuggla (§4),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