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1976-2023 i Västerviks kommun</w:t>
      </w:r>
    </w:p>
    <w:p>
      <w:r>
        <w:t>Detta klagomål behandlar höga naturvärden i samrådsanmälan S 1976-2023 i Västerviks kommun som inkom 2023-06-07 och omfattar 23,3 ha.</w:t>
      </w:r>
    </w:p>
    <w:p>
      <w:pPr>
        <w:pStyle w:val="Caption"/>
      </w:pPr>
      <w:r>
        <w:drawing>
          <wp:inline xmlns:a="http://schemas.openxmlformats.org/drawingml/2006/main" xmlns:pic="http://schemas.openxmlformats.org/drawingml/2006/picture">
            <wp:extent cx="5486400" cy="4530484"/>
            <wp:docPr id="1" name="Picture 1"/>
            <wp:cNvGraphicFramePr>
              <a:graphicFrameLocks noChangeAspect="1"/>
            </wp:cNvGraphicFramePr>
            <a:graphic>
              <a:graphicData uri="http://schemas.openxmlformats.org/drawingml/2006/picture">
                <pic:pic>
                  <pic:nvPicPr>
                    <pic:cNvPr id="0" name="S 1976-2023 karta.png"/>
                    <pic:cNvPicPr/>
                  </pic:nvPicPr>
                  <pic:blipFill>
                    <a:blip r:embed="rId16"/>
                    <a:stretch>
                      <a:fillRect/>
                    </a:stretch>
                  </pic:blipFill>
                  <pic:spPr>
                    <a:xfrm>
                      <a:off x="0" y="0"/>
                      <a:ext cx="5486400" cy="453048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6426018, E 570094 i SWEREF 99 TM.</w:t>
      </w:r>
    </w:p>
    <w:p>
      <w:r>
        <w:t>I och inom 25 meter från samrådsanmälan finns fynd av 25 naturvårdsarter, varav 8 är rödlistade, 10 är fridlysta, 18 är typiska (T) och 11 är signalarter (S): knärot (VU, T, §8), rotfingersvamp (VU), entita (NT, T, §4), gropticka (NT, T), tallticka (NT, T), talltita (NT, §4), ullticka (NT, T), vågticka (NT), barkticka (S, T), blodticka (S, T), blomkålssvamp (S), blåmossa (S, T), brandticka (S), bronshjon (S, T), grovticka (S, T), grön sköldmossa (S, T, §8), grönpyrola (S, T), rävticka (S, T), vågbandad barkbock (S), blåsippa (T, §9), järpe (T, §4), mattlummer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108 fyndplatser för knärot registrerade på Artportalen. Figur 2 visar gränserna för buffertzoner på 50 m, som behöver lämnas kring fyndplatserna för att knärotslokalerna inte ska försvinna vid en avverkning. Av det samrådsanmälda området överlappar 13.89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S 1976-2023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6426018, E 570094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