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42892-2025 i Västerviks kommun</w:t>
      </w:r>
    </w:p>
    <w:p>
      <w:r>
        <w:t>Detta dokument behandlar höga naturvärden i avverkningsanmälan A 42892-2025 i Västerviks kommun. Denna avverkningsanmälan inkom 2025-09-08 00:00:00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knärot (VU, §8), ekticka (NT), garnlav (NT), spillkråka (NT, §4), tallticka (NT), talltita (NT, §4), ullticka (NT), blodticka (S), blomkålssvamp (S), blomskägglav (S), brandticka (S), bronshjon (S), granbarkgnagare (S), grön sköldmossa (S, §8), grönpyrola (S), gullgröppa (S), trådticka (S), vedticka (S), vågbandad barkbock (S), zontaggsvamp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42892-2025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6397161, E 577466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Blomskägglav är typisk art för </w:t>
      </w:r>
      <w:r>
        <w:rPr>
          <w:i/>
        </w:rPr>
        <w:t>9160 Näringsrik ekskog</w:t>
      </w:r>
      <w:r>
        <w:t xml:space="preserve"> och </w:t>
      </w:r>
      <w:r>
        <w:rPr>
          <w:i/>
        </w:rPr>
        <w:t>9190 Näringsfattig ekskog</w:t>
      </w:r>
      <w:r>
        <w:t xml:space="preserve">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spillkråka (NT, §4),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67 fyndplatser för knärot registrerade på Artportalen. Figur 2 visar gränserna för buffertzoner på 50 m, som behöver lämnas kring fyndplatserna för att knärotslokalerna inte ska försvinna vid en avverkning. Av det avverkningsanmälda området överlappar 10.45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2892-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6397161, E 577466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