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1557-2023 i Västerviks kommun</w:t>
      </w:r>
    </w:p>
    <w:p>
      <w:r>
        <w:t>Denna tillsynsbegäran behandlar höga naturvärden i samrådsanmälan S 1557-2023 i Västerviks kommun som inkom 2023-05-09 och omfattar 2,9 ha.</w:t>
      </w:r>
    </w:p>
    <w:p>
      <w:pPr>
        <w:pStyle w:val="Caption"/>
      </w:pPr>
      <w:r>
        <w:drawing>
          <wp:inline xmlns:a="http://schemas.openxmlformats.org/drawingml/2006/main" xmlns:pic="http://schemas.openxmlformats.org/drawingml/2006/picture">
            <wp:extent cx="5486400" cy="4964155"/>
            <wp:docPr id="1" name="Picture 1"/>
            <wp:cNvGraphicFramePr>
              <a:graphicFrameLocks noChangeAspect="1"/>
            </wp:cNvGraphicFramePr>
            <a:graphic>
              <a:graphicData uri="http://schemas.openxmlformats.org/drawingml/2006/picture">
                <pic:pic>
                  <pic:nvPicPr>
                    <pic:cNvPr id="0" name="S 1557-2023 karta.png"/>
                    <pic:cNvPicPr/>
                  </pic:nvPicPr>
                  <pic:blipFill>
                    <a:blip r:embed="rId16"/>
                    <a:stretch>
                      <a:fillRect/>
                    </a:stretch>
                  </pic:blipFill>
                  <pic:spPr>
                    <a:xfrm>
                      <a:off x="0" y="0"/>
                      <a:ext cx="5486400" cy="4964155"/>
                    </a:xfrm>
                    <a:prstGeom prst="rect"/>
                  </pic:spPr>
                </pic:pic>
              </a:graphicData>
            </a:graphic>
          </wp:inline>
        </w:drawing>
      </w:r>
    </w:p>
    <w:p>
      <w:pPr>
        <w:pStyle w:val="Caption"/>
        <w:spacing w:after="240"/>
      </w:pPr>
      <w:r>
        <w:t>Figur 1. Fyndplatser för naturvårdsarter i och inom 6 meter från samrådsanmälan. Markörer utan svart kant är placerade på fyndplatsen. Markörer med svart kant är placerade vid sidan av fyndplatsen och har ett svart streck som visar fyndplatsens exakta position. Kartans mittpunktskoordinat är N 6402486, E 599350 i SWEREF 99 TM.</w:t>
      </w:r>
    </w:p>
    <w:p>
      <w:r>
        <w:t>I och inom 6 meter från samrådsanmälan finns fynd av 4 naturvårdsarter, varav 2 är rödlistade, 1 är fridlyst, 2 är typiska (T) och 1 är signalart (S): ekticka (NT, T), sprengelsbjörnbär (NT), lundvårlök (S, T) och havsörn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Lundvårlök</w:t>
      </w:r>
      <w:r>
        <w:t xml:space="preserve"> visar på skyddsvärda ädellövskogar och lundar, men också på örtrika alkärr och andra lövskogsmiljöer med höga naturvärden. Många av dagens förekomster har en tydlig reliktkaraktär och är troligen mycket gamla kvarlevor från en tid då ädellövskogen hade större utbredning underden postglaciala värmetiden (stenålder-bronsåler). Lundvårlök är typisk art för </w:t>
      </w:r>
      <w:r>
        <w:rPr>
          <w:i/>
        </w:rPr>
        <w:t xml:space="preserve">9750 Svämlövskog </w:t>
      </w:r>
      <w:r>
        <w:t xml:space="preserve">och </w:t>
      </w:r>
      <w:r>
        <w:rPr>
          <w:i/>
        </w:rPr>
        <w:t xml:space="preserve">9760 Svämädellövskog </w:t>
      </w:r>
      <w:r>
        <w:t>(Nitare &amp; Skogsstyrelsen, 2019; SLU Artdatabanken, 2025).</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