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56737-2023 i Västerviks kommun</w:t>
      </w:r>
    </w:p>
    <w:p>
      <w:r>
        <w:t>Denna tillsynsbegäran behandlar höga naturvärden i avverkningsanmälan A 56737-2023 i Västerviks kommun som inkom 2023-11-14 och omfattar 5,5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56737-2023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6384854, E 581032 i SWEREF 99 TM.</w:t>
      </w:r>
    </w:p>
    <w:p>
      <w:r>
        <w:t>I och inom 23 meter från avverkningsanmälan finns fynd av 11 naturvårdsarter, varav 5 är rödlistade, 2 är fridlysta, 11 är typiska (T) och 5 är signalarter (S): knärot (VU, T, §8), dropptaggsvamp (NT, T), motaggsvamp (NT, T), tallticka (NT, T), ullticka (NT, T), blomskägglav (S, T), bronshjon (S, T), fällmossa (S, T), grovticka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54 fyndplatser för knärot registrerade på Artportalen. Figur 2 visar gränserna för buffertzoner på 50 m, som behöver lämnas kring fyndplatserna för att knärotslokalerna inte ska försvinna vid en avverkning. Av det avverkningsanmälda området överlappar 3.92 ha med buffertzonerna och får av detta skäl inte avverkas.</w:t>
      </w:r>
    </w:p>
    <w:p>
      <w:pPr>
        <w:pStyle w:val="Caption"/>
      </w:pPr>
      <w:r>
        <w:drawing>
          <wp:inline xmlns:a="http://schemas.openxmlformats.org/drawingml/2006/main" xmlns:pic="http://schemas.openxmlformats.org/drawingml/2006/picture">
            <wp:extent cx="5486400" cy="6619165"/>
            <wp:docPr id="2" name="Picture 2"/>
            <wp:cNvGraphicFramePr>
              <a:graphicFrameLocks noChangeAspect="1"/>
            </wp:cNvGraphicFramePr>
            <a:graphic>
              <a:graphicData uri="http://schemas.openxmlformats.org/drawingml/2006/picture">
                <pic:pic>
                  <pic:nvPicPr>
                    <pic:cNvPr id="0" name="A 56737-2023 karta knärot.png"/>
                    <pic:cNvPicPr/>
                  </pic:nvPicPr>
                  <pic:blipFill>
                    <a:blip r:embed="rId17"/>
                    <a:stretch>
                      <a:fillRect/>
                    </a:stretch>
                  </pic:blipFill>
                  <pic:spPr>
                    <a:xfrm>
                      <a:off x="0" y="0"/>
                      <a:ext cx="5486400" cy="66191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6384854, E 581032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tallticka (NT, T), ullticka (NT, T), blomskägglav (S, T), bronshjon (S, T), fällmossa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