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Arten är placerad högst upp i Skogsstyrelsens värdepyramid för bedömning av skog med höga naturvärden. Områden med arten bör skyddas och undantas från rationellt skogsbruk och slutavverkning, kraftig gallring och skogsgödsling måste helt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