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23021-2025 i Västerviks kommun</w:t>
      </w:r>
    </w:p>
    <w:p>
      <w:r>
        <w:t>Detta dokument behandlar höga naturvärden i avverkningsanmälan A 23021-2025 i Västerviks kommun. Denna avverkningsanmälan inkom 2025-05-13 00:00:00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stare (VU, §4), vågticka (VU), entita (NT, §4), grönsångare (NT, §4), kandelabersvamp (NT), koralltaggsvamp (NT), mindre hackspett (NT, §4), spillkråka (NT, §4), tallticka (NT), vintertagging (NT), mandelriska (S) och skogsduva (§4).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4086"/>
            <wp:docPr id="1" name="Picture 1"/>
            <wp:cNvGraphicFramePr>
              <a:graphicFrameLocks noChangeAspect="1"/>
            </wp:cNvGraphicFramePr>
            <a:graphic>
              <a:graphicData uri="http://schemas.openxmlformats.org/drawingml/2006/picture">
                <pic:pic>
                  <pic:nvPicPr>
                    <pic:cNvPr id="0" name="A 23021-2025 karta.png"/>
                    <pic:cNvPicPr/>
                  </pic:nvPicPr>
                  <pic:blipFill>
                    <a:blip r:embed="rId16"/>
                    <a:stretch>
                      <a:fillRect/>
                    </a:stretch>
                  </pic:blipFill>
                  <pic:spPr>
                    <a:xfrm>
                      <a:off x="0" y="0"/>
                      <a:ext cx="5486400" cy="36640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6417646, E 579396 i SWEREF 99 TM.</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Vintertagging (NT) </w:t>
      </w:r>
      <w:r>
        <w:t>växer på döda eller döende tallar som i huvudsak är mer än 250 år gamla. Den är en bra signalart som visar på gamla tallar och tallskogar med höga naturvärden. Den har klassificerats som en ”gammelskogsart” och svampen tycks kräva flerhundraåriga tallar som substrat. Arten hotas av minskande tillgång på döende och döda, äldre träd (SLU Artdatabanken, 2024; Nitare &amp; Skogsstyrelsen, 2019).</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pPr>
        <w:pStyle w:val="Heading1"/>
      </w:pPr>
      <w:r>
        <w:t>Fridlysta arter</w:t>
      </w:r>
    </w:p>
    <w:p>
      <w:r>
        <w:t>Följande fridlysta arter har sina livsmiljöer och växtplatser i den avverkningsanmälda skogen: stare (VU, §4), entita (NT, §4), grönsångare (NT, §4), mindre hackspett (NT, §4), spillkråka (NT, §4) och skogsduva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