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24884-2025 i Västerviks kommun</w:t>
      </w:r>
    </w:p>
    <w:p>
      <w:r>
        <w:t>Detta dokument behandlar höga naturvärden i avverkningsanmälan A 24884-2025 i Västerviks kommun. Denna avverkningsanmälan inkom 2025-05-22 12:08:56 och omfattar 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strävlosta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60796"/>
            <wp:docPr id="1" name="Picture 1"/>
            <wp:cNvGraphicFramePr>
              <a:graphicFrameLocks noChangeAspect="1"/>
            </wp:cNvGraphicFramePr>
            <a:graphic>
              <a:graphicData uri="http://schemas.openxmlformats.org/drawingml/2006/picture">
                <pic:pic>
                  <pic:nvPicPr>
                    <pic:cNvPr id="0" name="A 24884-2025 karta.png"/>
                    <pic:cNvPicPr/>
                  </pic:nvPicPr>
                  <pic:blipFill>
                    <a:blip r:embed="rId16"/>
                    <a:stretch>
                      <a:fillRect/>
                    </a:stretch>
                  </pic:blipFill>
                  <pic:spPr>
                    <a:xfrm>
                      <a:off x="0" y="0"/>
                      <a:ext cx="5486400" cy="53607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6399505, E 577835 i SWEREF 99 TM.</w:t>
      </w:r>
    </w:p>
    <w:p>
      <w:r>
        <w:rPr>
          <w:b/>
        </w:rPr>
        <w:t xml:space="preserve">Strävlosta </w:t>
      </w:r>
      <w:r>
        <w:t>är ett sällsynt och exklusivt lundgräs som växer i extremrika ädellundskogar och lundar, men även i extremrika kalkbarrskogar. Arten är placerad högst upp i Skogsstyrelsens värdepyramid för bedömning av skog med höga naturvärden och på växtplatserna finns normalt många andra rödlistade och hotade arter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