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29455-2021 i Västerviks kommun</w:t>
      </w:r>
    </w:p>
    <w:p>
      <w:r>
        <w:t>Detta dokument behandlar höga naturvärden i avverkningsanmälan A 29455-2021 i Västerviks kommun. Denna avverkningsanmälan inkom 2021-06-14 00:00:00 och omfattar 3,1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4 naturvårdsarter hittats: knärot (VU, §8), garnlav (NT), talltita (NT, §4) och grovticka (S).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13066"/>
            <wp:docPr id="1" name="Picture 1"/>
            <wp:cNvGraphicFramePr>
              <a:graphicFrameLocks noChangeAspect="1"/>
            </wp:cNvGraphicFramePr>
            <a:graphic>
              <a:graphicData uri="http://schemas.openxmlformats.org/drawingml/2006/picture">
                <pic:pic>
                  <pic:nvPicPr>
                    <pic:cNvPr id="0" name="A 29455-2021 karta.png"/>
                    <pic:cNvPicPr/>
                  </pic:nvPicPr>
                  <pic:blipFill>
                    <a:blip r:embed="rId16"/>
                    <a:stretch>
                      <a:fillRect/>
                    </a:stretch>
                  </pic:blipFill>
                  <pic:spPr>
                    <a:xfrm>
                      <a:off x="0" y="0"/>
                      <a:ext cx="5486400" cy="571306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6422774, E 570944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Grovticka</w:t>
      </w:r>
      <w:r>
        <w:t xml:space="preserve"> är i skogslandskapet främst knuten till naturskogsartad äldre barrskog. Den är där en värdefull ”gammelskogsindikator” och påträffas mest vid tallar som är över 200 år gamla (Nitare &amp; Skogsstyrelsen, 2019).</w:t>
      </w:r>
    </w:p>
    <w:p>
      <w:pPr>
        <w:pStyle w:val="Heading1"/>
      </w:pPr>
      <w:r>
        <w:t>Fridlysta arter</w:t>
      </w:r>
    </w:p>
    <w:p>
      <w:r>
        <w:t>Följande fridlysta arter har sina livsmiljöer och växtplatser i den avverkningsanmälda skogen: knärot (VU, §8) och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1 fyndplatser för knärot registrerade på Artportalen. Figur 2 visar gränserna för buffertzoner på 50 m, som behöver lämnas kring fyndplatserna för att knärotslokalerna inte ska försvinna vid en avverkning. Av det avverkningsanmälda området överlappar 0.72 ha med buffertzonerna och får av detta skäl inte avverkas.</w:t>
      </w:r>
    </w:p>
    <w:p>
      <w:pPr>
        <w:pStyle w:val="Caption"/>
      </w:pPr>
      <w:r>
        <w:drawing>
          <wp:inline xmlns:a="http://schemas.openxmlformats.org/drawingml/2006/main" xmlns:pic="http://schemas.openxmlformats.org/drawingml/2006/picture">
            <wp:extent cx="5486400" cy="7115870"/>
            <wp:docPr id="2" name="Picture 2"/>
            <wp:cNvGraphicFramePr>
              <a:graphicFrameLocks noChangeAspect="1"/>
            </wp:cNvGraphicFramePr>
            <a:graphic>
              <a:graphicData uri="http://schemas.openxmlformats.org/drawingml/2006/picture">
                <pic:pic>
                  <pic:nvPicPr>
                    <pic:cNvPr id="0" name="A 29455-2021 karta knärot.png"/>
                    <pic:cNvPicPr/>
                  </pic:nvPicPr>
                  <pic:blipFill>
                    <a:blip r:embed="rId17"/>
                    <a:stretch>
                      <a:fillRect/>
                    </a:stretch>
                  </pic:blipFill>
                  <pic:spPr>
                    <a:xfrm>
                      <a:off x="0" y="0"/>
                      <a:ext cx="5486400" cy="7115870"/>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6422774, E 570944 i SWEREF 99 TM.</w:t>
      </w:r>
    </w:p>
    <w:p>
      <w:pPr>
        <w:pStyle w:val="Caption"/>
      </w:pP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