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59319-2023 i Västerviks kommun</w:t>
      </w:r>
    </w:p>
    <w:p>
      <w:r>
        <w:t>Detta dokument behandlar höga naturvärden i avverkningsanmälan A 59319-2023 i Västerviks kommun. Denna avverkningsanmälan inkom 2023-11-23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tallharticka (EN), knärot (VU, §8), blomkålssvamp (S)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0760"/>
            <wp:docPr id="1" name="Picture 1"/>
            <wp:cNvGraphicFramePr>
              <a:graphicFrameLocks noChangeAspect="1"/>
            </wp:cNvGraphicFramePr>
            <a:graphic>
              <a:graphicData uri="http://schemas.openxmlformats.org/drawingml/2006/picture">
                <pic:pic>
                  <pic:nvPicPr>
                    <pic:cNvPr id="0" name="A 59319-2023 karta.png"/>
                    <pic:cNvPicPr/>
                  </pic:nvPicPr>
                  <pic:blipFill>
                    <a:blip r:embed="rId16"/>
                    <a:stretch>
                      <a:fillRect/>
                    </a:stretch>
                  </pic:blipFill>
                  <pic:spPr>
                    <a:xfrm>
                      <a:off x="0" y="0"/>
                      <a:ext cx="5486400" cy="4500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6408695, E 573381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Tallharticka (EN)</w:t>
      </w:r>
      <w:r>
        <w:t xml:space="preserve"> är knuten till gamla tallar i solvarma lägen, ofta på rikare mark med inslag av kalk eller grönsten. Den är placerad högst upp i Skogsstyrelsens värdepyramid för bedömning av skog med höga naturvärden och visar på starkt skyddsvärda gamla eller mycket gamla tallbestånd med höga naturvärden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0.86 ha med buffertzonerna och får av detta skäl inte avverkas.</w:t>
      </w:r>
    </w:p>
    <w:p>
      <w:pPr>
        <w:pStyle w:val="Caption"/>
      </w:pPr>
      <w:r>
        <w:drawing>
          <wp:inline xmlns:a="http://schemas.openxmlformats.org/drawingml/2006/main" xmlns:pic="http://schemas.openxmlformats.org/drawingml/2006/picture">
            <wp:extent cx="5486400" cy="5328267"/>
            <wp:docPr id="2" name="Picture 2"/>
            <wp:cNvGraphicFramePr>
              <a:graphicFrameLocks noChangeAspect="1"/>
            </wp:cNvGraphicFramePr>
            <a:graphic>
              <a:graphicData uri="http://schemas.openxmlformats.org/drawingml/2006/picture">
                <pic:pic>
                  <pic:nvPicPr>
                    <pic:cNvPr id="0" name="A 59319-2023 karta knärot.png"/>
                    <pic:cNvPicPr/>
                  </pic:nvPicPr>
                  <pic:blipFill>
                    <a:blip r:embed="rId17"/>
                    <a:stretch>
                      <a:fillRect/>
                    </a:stretch>
                  </pic:blipFill>
                  <pic:spPr>
                    <a:xfrm>
                      <a:off x="0" y="0"/>
                      <a:ext cx="5486400" cy="532826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6408695, E 573381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