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975-2023 i Västerviks kommun</w:t>
      </w:r>
    </w:p>
    <w:p>
      <w:r>
        <w:t>Detta dokument behandlar höga naturvärden i avverkningsanmälan A 975-2023 i Västerviks kommun. Denna avverkningsanmälan inkom 2023-01-09 00:00:00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läderbagge (VU, §4a).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9418"/>
            <wp:docPr id="1" name="Picture 1"/>
            <wp:cNvGraphicFramePr>
              <a:graphicFrameLocks noChangeAspect="1"/>
            </wp:cNvGraphicFramePr>
            <a:graphic>
              <a:graphicData uri="http://schemas.openxmlformats.org/drawingml/2006/picture">
                <pic:pic>
                  <pic:nvPicPr>
                    <pic:cNvPr id="0" name="A 975-2023 karta.png"/>
                    <pic:cNvPicPr/>
                  </pic:nvPicPr>
                  <pic:blipFill>
                    <a:blip r:embed="rId16"/>
                    <a:stretch>
                      <a:fillRect/>
                    </a:stretch>
                  </pic:blipFill>
                  <pic:spPr>
                    <a:xfrm>
                      <a:off x="0" y="0"/>
                      <a:ext cx="5486400" cy="41994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6412903, E 589728 i SWEREF 99 TM.</w:t>
      </w:r>
    </w:p>
    <w:p>
      <w:pPr>
        <w:pStyle w:val="Heading1"/>
      </w:pPr>
      <w:r>
        <w:t>Fridlysta arter</w:t>
      </w:r>
    </w:p>
    <w:p>
      <w:r>
        <w:t>Följande fridlysta arter har sina livsmiljöer och växtplatser i den avverkningsanmälda skogen: läderbagge (VU, §4a).</w:t>
      </w:r>
    </w:p>
    <w:p>
      <w:r>
        <w:rPr>
          <w:b/>
        </w:rPr>
        <w:t>Läderbagge (VU, §4a)</w:t>
      </w:r>
      <w:r>
        <w:t xml:space="preserve"> är strikt skyddad enligt EU:s art- och habitatdirektiv vilket innebär att hela dess livsmiljö med ekar i alla åldrar behöver bevaras för artens långsiktiga överlevnad i landskapet. Läderbaggens larvutveckling sker i trädhåligheter med mulm i grova ihåliga lövträd, där larven lever av den omgivande, fastare döda veden. I Sverige främst i ek, men även i ask, bok, lind, klibbal, hästkastanj, alm, apel och asp. Läderbaggen påverkar livsmiljön för andra arter genom att utvidga håligheter, öka mängden mulm och höja kvävehalten i mulmen. I stamhåligheter med läderbagge förekommer ofta en rad andra rödlistade arter. Läderbagge är globalt rödlistad som nära hotad (NT) vilket innebär att Sverige har ett internationellt ansvar för arten (IUCN, 2025; SLU Artdatabanken, 2021; Nilsson m.fl. 2002).</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