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1556-2023 i Västerviks kommun</w:t>
      </w:r>
    </w:p>
    <w:p>
      <w:r>
        <w:t>Detta klagomål behandlar höga naturvärden i samrådsanmälan S 1556-2023 i Västerviks kommun som inkom 2023-05-09 och omfattar 1,8 ha.</w:t>
      </w:r>
    </w:p>
    <w:p>
      <w:pPr>
        <w:pStyle w:val="Caption"/>
      </w:pPr>
      <w:r>
        <w:drawing>
          <wp:inline xmlns:a="http://schemas.openxmlformats.org/drawingml/2006/main" xmlns:pic="http://schemas.openxmlformats.org/drawingml/2006/picture">
            <wp:extent cx="5486400" cy="4956667"/>
            <wp:docPr id="1" name="Picture 1"/>
            <wp:cNvGraphicFramePr>
              <a:graphicFrameLocks noChangeAspect="1"/>
            </wp:cNvGraphicFramePr>
            <a:graphic>
              <a:graphicData uri="http://schemas.openxmlformats.org/drawingml/2006/picture">
                <pic:pic>
                  <pic:nvPicPr>
                    <pic:cNvPr id="0" name="S 1556-2023 karta.png"/>
                    <pic:cNvPicPr/>
                  </pic:nvPicPr>
                  <pic:blipFill>
                    <a:blip r:embed="rId16"/>
                    <a:stretch>
                      <a:fillRect/>
                    </a:stretch>
                  </pic:blipFill>
                  <pic:spPr>
                    <a:xfrm>
                      <a:off x="0" y="0"/>
                      <a:ext cx="5486400" cy="4956667"/>
                    </a:xfrm>
                    <a:prstGeom prst="rect"/>
                  </pic:spPr>
                </pic:pic>
              </a:graphicData>
            </a:graphic>
          </wp:inline>
        </w:drawing>
      </w:r>
    </w:p>
    <w:p>
      <w:pPr>
        <w:pStyle w:val="Caption"/>
        <w:spacing w:after="240"/>
      </w:pPr>
      <w:r>
        <w:t>Figur 1. Fyndplatser för naturvårdsarter i och inom 9 meter från samrådsanmälan. Markörer utan svart kant är placerade på fyndplatsen. Markörer med svart kant är placerade vid sidan av fyndplatsen och har ett svart streck som visar fyndplatsens exakta position. Kartans mittpunktskoordinat är N 6403027, E 594968 i SWEREF 99 TM.</w:t>
      </w:r>
    </w:p>
    <w:p>
      <w:r>
        <w:t>I och inom 9 meter från samrådsanmälan finns fynd av 2 naturvårdsarter, varav 1 är rödlistad, 1 är typisk (T) och 1 är signalart (S): ekticka (NT, T) och blanksvart trämyra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Blanksvart trämyra </w:t>
      </w:r>
      <w:r>
        <w:t xml:space="preserve">förknippas framför allt med gamla träd, där den gnager ut den murkna veden och fyller hålrummen med sitt konstfulla bo. I och intill bon av blanksvart trämyra och i synnerhet brun trämyra kan flera sällsynta och rödlistade skalbaggar påträffas. Bland dessa kan nämnas knappstumpbagge (EN), </w:t>
      </w:r>
      <w:r>
        <w:rPr>
          <w:i/>
        </w:rPr>
        <w:t>Batrisodes adnexus</w:t>
      </w:r>
      <w:r>
        <w:t xml:space="preserve"> (VU), </w:t>
      </w:r>
      <w:r>
        <w:rPr>
          <w:i/>
        </w:rPr>
        <w:t>Batrisodes delaporti</w:t>
      </w:r>
      <w:r>
        <w:t xml:space="preserve"> (VU), </w:t>
      </w:r>
      <w:r>
        <w:rPr>
          <w:i/>
        </w:rPr>
        <w:t>Euryusa coarctata</w:t>
      </w:r>
      <w:r>
        <w:t xml:space="preserve"> (VU), </w:t>
      </w:r>
      <w:r>
        <w:rPr>
          <w:i/>
        </w:rPr>
        <w:t>Euryusa optabilis</w:t>
      </w:r>
      <w:r>
        <w:t xml:space="preserve"> (VU), </w:t>
      </w:r>
      <w:r>
        <w:rPr>
          <w:i/>
        </w:rPr>
        <w:t>Euryusa sinuata</w:t>
      </w:r>
      <w:r>
        <w:t xml:space="preserve"> (VU), </w:t>
      </w:r>
      <w:r>
        <w:rPr>
          <w:i/>
        </w:rPr>
        <w:t xml:space="preserve">Plectophloeus nitidus </w:t>
      </w:r>
      <w:r>
        <w:t xml:space="preserve">(VU), </w:t>
      </w:r>
      <w:r>
        <w:rPr>
          <w:i/>
        </w:rPr>
        <w:t xml:space="preserve">Scydmaenus perrisi </w:t>
      </w:r>
      <w:r>
        <w:t xml:space="preserve">(VU), </w:t>
      </w:r>
      <w:r>
        <w:rPr>
          <w:i/>
        </w:rPr>
        <w:t xml:space="preserve">Tachyusida gracilis </w:t>
      </w:r>
      <w:r>
        <w:t xml:space="preserve">(VU), </w:t>
      </w:r>
      <w:r>
        <w:rPr>
          <w:i/>
        </w:rPr>
        <w:t>Amphotis marginata</w:t>
      </w:r>
      <w:r>
        <w:t xml:space="preserve"> (NT), </w:t>
      </w:r>
      <w:r>
        <w:rPr>
          <w:i/>
        </w:rPr>
        <w:t>Cryptophagus fuscicornis</w:t>
      </w:r>
      <w:r>
        <w:t xml:space="preserve"> (NT) och </w:t>
      </w:r>
      <w:r>
        <w:rPr>
          <w:i/>
        </w:rPr>
        <w:t>Thiasophila inquilina</w:t>
      </w:r>
      <w:r>
        <w:t xml:space="preserve"> (NT)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