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42892-2025 i Västerviks kommun</w:t>
      </w:r>
    </w:p>
    <w:p>
      <w:r>
        <w:t>Detta klagomål behandlar höga naturvärden i avverkningsanmälan A 42892-2025 i Västerviks kommun som inkom 2025-09-08 och omfattar 19,3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42892-2025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6397161, E 577466 i SWEREF 99 TM.</w:t>
      </w:r>
    </w:p>
    <w:p>
      <w:r>
        <w:t>I och inom 25 meter från avverkningsanmälan finns fynd av 24 naturvårdsarter, varav 7 är rödlistade, 5 är fridlysta, 15 är typiska (T) och 15 är signalarter (S): garnlav (VU, T), knärot (VU, T, §8), ekticka (NT, T), spinnfingersvamp (NT), tallticka (NT, T), talltita (NT, §4), ullticka (NT, T), blodticka (S, T), blomkålssvamp (S), blomskägglav (S, T), brandticka (S), bronshjon (S, T), dolkstekelsglasvinge (S), granbarkgnagare (S, T), grön sköldmossa (S, T, §8), grönpyrola (S, T), gullgröppa (S), jättesvampmal (S), trådticka (S, T), vedticka (S, T), vågbandad barkbock (S), zontaggsvamp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75 fyndplatser för knärot registrerade på Artportalen. Figur 2 visar gränserna för buffertzoner på 50 m, som behöver lämnas kring fyndplatserna för att knärotslokalerna inte ska försvinna vid en avverkning. Av det avverkningsanmälda området överlappar 10.45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2892-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6397161, E 577466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