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61319-2021 i Västerviks kommun</w:t>
      </w:r>
    </w:p>
    <w:p>
      <w:r>
        <w:t>Detta klagomål behandlar höga naturvärden i avverkningsanmälan A 61319-2021 i Västerviks kommun som inkom 2021-10-29 och omfattar 2,2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61319-2021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6386524, E 595798 i SWEREF 99 TM.</w:t>
      </w:r>
    </w:p>
    <w:p>
      <w:r>
        <w:t>I och inom 12 meter från avverkningsanmälan finns fynd av 21 naturvårdsarter, varav 10 är rödlistade, 18 är fridlysta, 5 är typiska (T) och 1 är signalart (S): ask (EN), hornuggla (EN, §4), klätt (EN), gråtrut (VU, §4), sandödla (VU, §4a), ekträdlöpare (NT), entita (NT, T, §4), kricka (NT, §4), mindre hackspett (NT, T, §4), sädesärla (NT, §4), ekoxe (S, §6), gråsiska (T, §4), stjärtmes (T, §4), tofsmes (T, §4), fiskgjuse (§4), gröngöling (§4), grönsiska (§4), havsörn (§4), trana (§4), trädlärka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Ekträdlöpare (NT) </w:t>
      </w:r>
      <w:r>
        <w:t>är en långhorning vars larvutveckling sker under tjock bark på solexponerade, nyligen döda stubbar och lågor av lövträd, främst ek men även bok, i Central- och Sydeuropa även al, björk, lind och kastanj. Brist på nyligen död och solexponerad grov ekved är det största hotet. Det kan orsakas genom avverkningar av ek liksom att blandskogar med ek (och andra lövträd) växer igen med främst gran och därmed blir en skuggig, kall och ogästvänlig miljö för arten. Gamla bestånd med ek och bok bör bevaras så långt möjligt, och inte avverkas. Istället bör skuggande yngre träd (främst gran) selektivt gallras bort så att både gammal ek och bok liksom grov död ved från dessa (t.ex. fallna träd) blir solbelysta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