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dokument behandlar höga naturvärden i avverkningsanmälan A 58458-2022 i Västerviks kommun. Denna avverkningsanmälan inkom 2022-12-07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brandnäva (EN), knärot (VU, §8), bredbrämad bastardsvärmare (NT), duvhök (NT, §4), grönsångare (NT, §4), havsörn (NT, §4), kandelabersvamp (NT), klubbsprötad bastardsvärmare (NT), mindre bastardsvärmare (NT), silversmygare (NT), smalsprötad bastardsvärmare (NT), spillkråka (NT, §4), svedjenäva (NT), talltita (NT, §4), grovticka (S), grönpyrola (S), purpurknipprot (S, §8), tibast (S), gröngöling (§4), järnsparv (§4), törnskata (§4), kopparödla (§6), skogsödla (§6), grönvit nattviol (§8), blåsippa (§9) och mattlummer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6410706, E 578641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 duvhök (NT, §4), grönsångare (NT, §4), havsörn (NT, §4), spillkråka (NT, §4), talltita (NT, §4), purpurknipprot (S, §8), gröngöling (§4), järnsparv (§4), törnskata (§4), kopparödla (§6), skogsödla (§6), grönvit nattviol (§8),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4882393"/>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48823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