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21858-2026 i Västerviks kommun</w:t>
      </w:r>
    </w:p>
    <w:p>
      <w:r>
        <w:t>Detta klagomål behandlar höga naturvärden i avverkningsanmälan A 21858-2026 i Västerviks kommun som inkom 2026-05-08 och omfattar 1,3 ha.</w:t>
      </w:r>
    </w:p>
    <w:p>
      <w:pPr>
        <w:pStyle w:val="Caption"/>
      </w:pPr>
      <w:r>
        <w:drawing>
          <wp:inline xmlns:a="http://schemas.openxmlformats.org/drawingml/2006/main" xmlns:pic="http://schemas.openxmlformats.org/drawingml/2006/picture">
            <wp:extent cx="5486400" cy="5424881"/>
            <wp:docPr id="1" name="Picture 1"/>
            <wp:cNvGraphicFramePr>
              <a:graphicFrameLocks noChangeAspect="1"/>
            </wp:cNvGraphicFramePr>
            <a:graphic>
              <a:graphicData uri="http://schemas.openxmlformats.org/drawingml/2006/picture">
                <pic:pic>
                  <pic:nvPicPr>
                    <pic:cNvPr id="0" name="A 21858-2026 karta.png"/>
                    <pic:cNvPicPr/>
                  </pic:nvPicPr>
                  <pic:blipFill>
                    <a:blip r:embed="rId16"/>
                    <a:stretch>
                      <a:fillRect/>
                    </a:stretch>
                  </pic:blipFill>
                  <pic:spPr>
                    <a:xfrm>
                      <a:off x="0" y="0"/>
                      <a:ext cx="5486400" cy="542488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6398857, E 588267 i SWEREF 99 TM.</w:t>
      </w:r>
    </w:p>
    <w:p>
      <w:r>
        <w:t>I avverkningsanmälan finns fynd av 4 naturvårdsarter, varav 1 är rödlistad, 2 är fridlysta, 1 är typisk (T) och 1 är signalart (S): svinrot (NT), björksplintborre (S), blåsippa (T, §9) och svartvit flugsnappare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Björksplintborre </w:t>
      </w:r>
      <w:r>
        <w:t>är en skalbagge vars larvutveckling sker i bark på nyligen döda björkar, både stående träd och vindfällen. En prydlig rad med runda ventilationshål i barken ovanför modergången är synnerligen karaktäristiskt. Arten är knuten till lövrika blandskogar med en hög andel gamla träd, och starkt gynnad av naturliga störningar som torka, översvämningar, brand och stormfällningar. Talrika gnagspår kan tyda på biotoper med höga naturvärden, exempelvis för ovanliga hackspettar och andra, mer sällsynta vedinsekter. Larverna är omtyckt hackspettsföda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