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2637-2022 i Västerviks kommun</w:t>
      </w:r>
    </w:p>
    <w:p>
      <w:r>
        <w:t>Denna tillsynsbegäran behandlar höga naturvärden i samrådsanmälan S 2637-2022 i Västerviks kommun som inkom 2022-05-18 och omfattar 8,3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S 2637-2022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6384015, E 590931 i SWEREF 99 TM.</w:t>
      </w:r>
    </w:p>
    <w:p>
      <w:r>
        <w:t>I och inom 25 meter från samrådsanmälan finns fynd av 16 naturvårdsarter, varav 10 är rödlistade, 4 är fridlysta, 6 är typiska (T) och 4 är signalarter (S): skogsalm (EN), ekspik (VU), hasselsnok (VU, §4a), kortskaftad parasitspik (VU), linddyna (VU), blekticka (NT, T), ekticka (NT, T), gul dropplav (NT), skuggorangelav (NT), tallticka (NT, T), ekoxe (S, §6), ekskinn (S, T), gulnål (S, T), gulpudrad spiklav (S, T), huggorm (§6)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Ekspik (VU)</w:t>
      </w:r>
      <w:r>
        <w:t xml:space="preserve"> växer praktiskt taget enbart på grov bark och ved av mycket gamla ekar i öppna skogar och försvinner om skogarna sluter sig. Lämpliga träd och skogar nyskapas i mycket begränsad omfattning. Arten hotas genom att gamla lövträd avverkas samt att ekhagar och andra liknande miljöer växer igen. Ekspik är typisk art för </w:t>
      </w:r>
      <w:r>
        <w:rPr>
          <w:i/>
        </w:rPr>
        <w:t>9070 Trädklädd betesmark</w:t>
      </w:r>
      <w:r>
        <w:t xml:space="preserve"> och skiljer sig från gulpudrad nållav genom att den har vitpruinösa apothecier i stället för gul pruina (SLU Artdatabanken, 2025).</w:t>
      </w:r>
    </w:p>
    <w:p>
      <w:r>
        <w:rPr>
          <w:b/>
        </w:rPr>
        <w:t>Kortskaftad parasitspik (VU)</w:t>
      </w:r>
      <w:r>
        <w:t xml:space="preserve"> är en liten knappnålsliknande olicheniserad svamp som parasiterar på porlav </w:t>
      </w:r>
      <w:r>
        <w:rPr>
          <w:i/>
        </w:rPr>
        <w:t>Pertusaria pertusa</w:t>
      </w:r>
      <w:r>
        <w:t>. Arten förekommer på gamla ekar och bokar i öppna lägen med hög luftfuktighet. Arten hotas genom att halvöppna brynmiljöer med lövträd av bok och ek samt blandskogsbestånd med gran, ek och bok avverkas. Den hotas även av att de öppna hagmarkerna och särskilt ekhagarna slutit sig eller överförts till barrskog (SLU Artdatabanken, 2025).</w:t>
      </w:r>
    </w:p>
    <w:p>
      <w:r>
        <w:rPr>
          <w:b/>
        </w:rPr>
        <w:t>Linddyna (VU)</w:t>
      </w:r>
      <w:r>
        <w:t xml:space="preserve"> är en nedbrytare på stammar av lind i varma ädellövskogsmiljöer med stort inslag av lind såsom bergbranter, glupmiljöer, hagmarker, lövängar och parker. Tillgång till lindlågor är viktig för linddynans fortbestånd. Bortfraktande av lindstammar från parker och alltför nitisk städning av hagmarker och lövskogsområden är allvarliga hot. På kända lokaler bör lind gynnas och all död ved av lind sparas. Lindlågor bör generellt sparas i "naturbetonade" delar av parker och i hagmarker. Tillsammans med linddyna lever ett antal sällsynta skalbaggsarter som omfattas av ett åtgärdsprogram för hotade arter (ÅGP). Bland dessa kan nämnas lindbarkbagge (EN), lindmögelbagge (VU), lindplattbagge (VU) och enfärgad brandsvampbagge (NT) (SLU Artdatabanken, 2024; Ehnström, 2006).</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blekticka (NT, T), ekticka (NT, T), tallticka (NT, T), ekskinn (S, T), gulnål (S, T) och gulpudrad spiklav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