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2806-2025 i Västerviks kommun</w:t>
      </w:r>
    </w:p>
    <w:p>
      <w:r>
        <w:t>Detta dokument behandlar höga naturvärden i avverkningsanmälan A 2806-2025 i Västerviks kommun. Denna avverkningsanmälan inkom 2025-01-20 00:00:00 och omfattar 1,5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6 naturvårdsarter hittats: ryl (EN), knärot (VU, §8), talltita (NT, §4), ullticka (NT), grönpyrola (S) och kungsfågel (§4). Av dessa är 4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154712"/>
            <wp:docPr id="1" name="Picture 1"/>
            <wp:cNvGraphicFramePr>
              <a:graphicFrameLocks noChangeAspect="1"/>
            </wp:cNvGraphicFramePr>
            <a:graphic>
              <a:graphicData uri="http://schemas.openxmlformats.org/drawingml/2006/picture">
                <pic:pic>
                  <pic:nvPicPr>
                    <pic:cNvPr id="0" name="A 2806-2025 karta.png"/>
                    <pic:cNvPicPr/>
                  </pic:nvPicPr>
                  <pic:blipFill>
                    <a:blip r:embed="rId16"/>
                    <a:stretch>
                      <a:fillRect/>
                    </a:stretch>
                  </pic:blipFill>
                  <pic:spPr>
                    <a:xfrm>
                      <a:off x="0" y="0"/>
                      <a:ext cx="5486400" cy="415471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6441258, E 590149 i SWEREF 99 TM.</w:t>
      </w:r>
    </w:p>
    <w:p>
      <w:r>
        <w:rPr>
          <w:b/>
        </w:rPr>
        <w:t xml:space="preserve">Grönpyrola </w:t>
      </w:r>
      <w:r>
        <w:t>växer främst på sandig, torr eller frisk mark i äldre barrskog, ofta på isälvsmaterial såsom sand och grus. Den påträffas främst i äldre naturligt uppkomna barrskogar, exempelvis på tallmoar, i åssluttningar, dyner och rasbranter. Arten är känslig för skogsbruksmetoder såsom slutavverkning och markberedning (Nitare &amp; Skogsstyrelsen, 2019).</w:t>
      </w:r>
    </w:p>
    <w:p>
      <w:r>
        <w:rPr>
          <w:b/>
        </w:rPr>
        <w:t>Ryl (EN)</w:t>
      </w:r>
      <w:r>
        <w:t xml:space="preserve"> är en starkt hotad kärlväxt som påträffas i gamla ljusöppna barrskogar, främst tallskogar på väldränerade och kalkrika jordar med tunna humuslager. Lokaler för arten bör undantas från kalavverkning, markberedning och skogsgödsling. På lokaler med riklig förekomst av ryl kan den sällsynta bladparasiten </w:t>
      </w:r>
      <w:r>
        <w:rPr>
          <w:i/>
        </w:rPr>
        <w:t xml:space="preserve">Mycosphaerella chimaphilae </w:t>
      </w:r>
      <w:r>
        <w:t>(EN)</w:t>
      </w:r>
      <w:r>
        <w:rPr>
          <w:i/>
        </w:rPr>
        <w:t xml:space="preserve"> </w:t>
      </w:r>
      <w:r>
        <w:t>påträffas. Parasiten bildar små svarta prickar på rylens blad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knärot (VU, §8), talltita (NT, §4) och kungsfågel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9 fyndplatser för knärot registrerade på Artportalen. Figur 2 visar gränserna för buffertzoner på 50 m, som behöver lämnas kring fyndplatserna för att knärotslokalerna inte ska försvinna vid en avverkning. Av det avverkningsanmälda området överlappar 1.44 ha med buffertzonerna och får av detta skäl inte avverkas.</w:t>
      </w:r>
    </w:p>
    <w:p>
      <w:pPr>
        <w:pStyle w:val="Caption"/>
      </w:pPr>
      <w:r>
        <w:drawing>
          <wp:inline xmlns:a="http://schemas.openxmlformats.org/drawingml/2006/main" xmlns:pic="http://schemas.openxmlformats.org/drawingml/2006/picture">
            <wp:extent cx="5486400" cy="4850032"/>
            <wp:docPr id="2" name="Picture 2"/>
            <wp:cNvGraphicFramePr>
              <a:graphicFrameLocks noChangeAspect="1"/>
            </wp:cNvGraphicFramePr>
            <a:graphic>
              <a:graphicData uri="http://schemas.openxmlformats.org/drawingml/2006/picture">
                <pic:pic>
                  <pic:nvPicPr>
                    <pic:cNvPr id="0" name="A 2806-2025 karta knärot.png"/>
                    <pic:cNvPicPr/>
                  </pic:nvPicPr>
                  <pic:blipFill>
                    <a:blip r:embed="rId17"/>
                    <a:stretch>
                      <a:fillRect/>
                    </a:stretch>
                  </pic:blipFill>
                  <pic:spPr>
                    <a:xfrm>
                      <a:off x="0" y="0"/>
                      <a:ext cx="5486400" cy="485003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6441258, E 590149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6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